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53F" w:rsidRDefault="002016E5">
      <w:pPr>
        <w:adjustRightInd w:val="0"/>
        <w:snapToGrid w:val="0"/>
        <w:spacing w:line="560" w:lineRule="exact"/>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光机电基地资源介绍</w:t>
      </w:r>
    </w:p>
    <w:p w:rsidR="0001653F" w:rsidRDefault="0001653F">
      <w:pPr>
        <w:adjustRightInd w:val="0"/>
        <w:snapToGrid w:val="0"/>
        <w:spacing w:line="560" w:lineRule="exact"/>
        <w:jc w:val="center"/>
        <w:rPr>
          <w:rFonts w:asciiTheme="majorEastAsia" w:eastAsiaTheme="majorEastAsia" w:hAnsiTheme="majorEastAsia"/>
          <w:b/>
          <w:sz w:val="44"/>
          <w:szCs w:val="44"/>
        </w:rPr>
      </w:pPr>
    </w:p>
    <w:p w:rsidR="0001653F" w:rsidRDefault="002016E5">
      <w:pPr>
        <w:adjustRightInd w:val="0"/>
        <w:snapToGrid w:val="0"/>
        <w:spacing w:line="560" w:lineRule="exact"/>
        <w:ind w:firstLineChars="176" w:firstLine="563"/>
        <w:rPr>
          <w:rFonts w:ascii="黑体" w:eastAsia="黑体" w:hAnsiTheme="minorEastAsia"/>
          <w:sz w:val="32"/>
          <w:szCs w:val="32"/>
        </w:rPr>
      </w:pPr>
      <w:r>
        <w:rPr>
          <w:rFonts w:ascii="黑体" w:eastAsia="黑体" w:hAnsiTheme="minorEastAsia" w:hint="eastAsia"/>
          <w:sz w:val="32"/>
          <w:szCs w:val="32"/>
        </w:rPr>
        <w:t>一、光机电基地区位介绍</w:t>
      </w:r>
    </w:p>
    <w:p w:rsidR="0001653F" w:rsidRDefault="002016E5">
      <w:pPr>
        <w:adjustRightInd w:val="0"/>
        <w:snapToGrid w:val="0"/>
        <w:spacing w:line="560" w:lineRule="exact"/>
        <w:ind w:firstLineChars="176" w:firstLine="563"/>
        <w:rPr>
          <w:rFonts w:ascii="仿宋_GB2312" w:eastAsia="仿宋_GB2312" w:hAnsiTheme="minorEastAsia"/>
          <w:sz w:val="32"/>
          <w:szCs w:val="32"/>
        </w:rPr>
      </w:pPr>
      <w:r>
        <w:rPr>
          <w:rFonts w:ascii="仿宋_GB2312" w:eastAsia="仿宋_GB2312" w:hAnsiTheme="minorEastAsia" w:hint="eastAsia"/>
          <w:sz w:val="32"/>
          <w:szCs w:val="32"/>
        </w:rPr>
        <w:t>光机电一体化产业基地位于通州区台湖镇的西部，</w:t>
      </w:r>
      <w:r>
        <w:rPr>
          <w:rFonts w:ascii="仿宋_GB2312" w:eastAsia="仿宋_GB2312" w:hAnsi="宋体" w:hint="eastAsia"/>
          <w:sz w:val="32"/>
          <w:szCs w:val="32"/>
        </w:rPr>
        <w:t>东邻</w:t>
      </w:r>
      <w:r>
        <w:rPr>
          <w:rFonts w:ascii="仿宋_GB2312" w:eastAsia="仿宋_GB2312" w:hAnsiTheme="minorEastAsia" w:hint="eastAsia"/>
          <w:sz w:val="32"/>
          <w:szCs w:val="32"/>
        </w:rPr>
        <w:t>环渤海高端总部基地</w:t>
      </w:r>
      <w:r>
        <w:rPr>
          <w:rFonts w:ascii="仿宋_GB2312" w:eastAsia="仿宋_GB2312" w:hAnsi="宋体" w:hint="eastAsia"/>
          <w:sz w:val="32"/>
          <w:szCs w:val="32"/>
        </w:rPr>
        <w:t>，</w:t>
      </w:r>
      <w:proofErr w:type="gramStart"/>
      <w:r>
        <w:rPr>
          <w:rFonts w:ascii="仿宋_GB2312" w:eastAsia="仿宋_GB2312" w:hAnsiTheme="minorEastAsia" w:hint="eastAsia"/>
          <w:sz w:val="32"/>
          <w:szCs w:val="32"/>
        </w:rPr>
        <w:t>西接亦庄</w:t>
      </w:r>
      <w:proofErr w:type="gramEnd"/>
      <w:r>
        <w:rPr>
          <w:rFonts w:ascii="仿宋_GB2312" w:eastAsia="仿宋_GB2312" w:hAnsiTheme="minorEastAsia" w:hint="eastAsia"/>
          <w:sz w:val="32"/>
          <w:szCs w:val="32"/>
        </w:rPr>
        <w:t>开发区</w:t>
      </w:r>
      <w:r>
        <w:rPr>
          <w:rFonts w:ascii="仿宋_GB2312" w:eastAsia="仿宋_GB2312" w:hAnsi="宋体" w:hint="eastAsia"/>
          <w:sz w:val="32"/>
          <w:szCs w:val="32"/>
        </w:rPr>
        <w:t>。光机电</w:t>
      </w:r>
      <w:proofErr w:type="gramStart"/>
      <w:r>
        <w:rPr>
          <w:rFonts w:ascii="仿宋_GB2312" w:eastAsia="仿宋_GB2312" w:hAnsi="宋体" w:hint="eastAsia"/>
          <w:sz w:val="32"/>
          <w:szCs w:val="32"/>
        </w:rPr>
        <w:t>基地与亦庄</w:t>
      </w:r>
      <w:proofErr w:type="gramEnd"/>
      <w:r>
        <w:rPr>
          <w:rFonts w:ascii="仿宋_GB2312" w:eastAsia="仿宋_GB2312" w:hAnsi="宋体" w:hint="eastAsia"/>
          <w:sz w:val="32"/>
          <w:szCs w:val="32"/>
        </w:rPr>
        <w:t>开发区仅一路之隔，所有的道路、基础设施、配套设施都是统一规划，居住、教育、医疗、卫生、金融等配套服务均可共享。</w:t>
      </w:r>
      <w:r>
        <w:rPr>
          <w:rFonts w:ascii="仿宋_GB2312" w:eastAsia="仿宋_GB2312" w:hAnsiTheme="minorEastAsia" w:hint="eastAsia"/>
          <w:sz w:val="32"/>
          <w:szCs w:val="32"/>
        </w:rPr>
        <w:t>基地由</w:t>
      </w:r>
      <w:r>
        <w:rPr>
          <w:rFonts w:ascii="仿宋_GB2312" w:eastAsia="仿宋_GB2312" w:hAnsiTheme="minorEastAsia" w:hint="eastAsia"/>
          <w:sz w:val="32"/>
          <w:szCs w:val="32"/>
        </w:rPr>
        <w:t>4</w:t>
      </w:r>
      <w:r>
        <w:rPr>
          <w:rFonts w:ascii="仿宋_GB2312" w:eastAsia="仿宋_GB2312" w:hAnsiTheme="minorEastAsia" w:hint="eastAsia"/>
          <w:sz w:val="32"/>
          <w:szCs w:val="32"/>
        </w:rPr>
        <w:t>条高速公路所环抱，分别是五环、六环、京沪高速和京津高速，从基地出发，仅需</w:t>
      </w:r>
      <w:r>
        <w:rPr>
          <w:rFonts w:ascii="仿宋_GB2312" w:eastAsia="仿宋_GB2312" w:hAnsiTheme="minorEastAsia" w:hint="eastAsia"/>
          <w:sz w:val="32"/>
          <w:szCs w:val="32"/>
        </w:rPr>
        <w:t>5</w:t>
      </w:r>
      <w:r>
        <w:rPr>
          <w:rFonts w:ascii="仿宋_GB2312" w:eastAsia="仿宋_GB2312" w:hAnsiTheme="minorEastAsia" w:hint="eastAsia"/>
          <w:sz w:val="32"/>
          <w:szCs w:val="32"/>
        </w:rPr>
        <w:t>分钟即可抵达五环路和京津高速，</w:t>
      </w:r>
      <w:r>
        <w:rPr>
          <w:rFonts w:ascii="仿宋_GB2312" w:eastAsia="仿宋_GB2312" w:hAnsiTheme="minorEastAsia" w:hint="eastAsia"/>
          <w:sz w:val="32"/>
          <w:szCs w:val="32"/>
        </w:rPr>
        <w:t>10</w:t>
      </w:r>
      <w:r>
        <w:rPr>
          <w:rFonts w:ascii="仿宋_GB2312" w:eastAsia="仿宋_GB2312" w:hAnsiTheme="minorEastAsia" w:hint="eastAsia"/>
          <w:sz w:val="32"/>
          <w:szCs w:val="32"/>
        </w:rPr>
        <w:t>分钟即可驶入京沪高速和六环路。已开通运营的轨道交通有京津城际铁路，地铁亦庄线，规划建设中的地铁有</w:t>
      </w:r>
      <w:r>
        <w:rPr>
          <w:rFonts w:ascii="仿宋_GB2312" w:eastAsia="仿宋_GB2312" w:hAnsiTheme="minorEastAsia" w:hint="eastAsia"/>
          <w:sz w:val="32"/>
          <w:szCs w:val="32"/>
        </w:rPr>
        <w:t>17</w:t>
      </w:r>
      <w:r>
        <w:rPr>
          <w:rFonts w:ascii="仿宋_GB2312" w:eastAsia="仿宋_GB2312" w:hAnsiTheme="minorEastAsia" w:hint="eastAsia"/>
          <w:sz w:val="32"/>
          <w:szCs w:val="32"/>
        </w:rPr>
        <w:t>号线和</w:t>
      </w:r>
      <w:r>
        <w:rPr>
          <w:rFonts w:ascii="仿宋_GB2312" w:eastAsia="仿宋_GB2312" w:hAnsiTheme="minorEastAsia" w:hint="eastAsia"/>
          <w:sz w:val="32"/>
          <w:szCs w:val="32"/>
        </w:rPr>
        <w:t>S6</w:t>
      </w:r>
      <w:r>
        <w:rPr>
          <w:rFonts w:ascii="仿宋_GB2312" w:eastAsia="仿宋_GB2312" w:hAnsiTheme="minorEastAsia" w:hint="eastAsia"/>
          <w:sz w:val="32"/>
          <w:szCs w:val="32"/>
        </w:rPr>
        <w:t>线。</w:t>
      </w:r>
    </w:p>
    <w:p w:rsidR="0001653F" w:rsidRDefault="002016E5">
      <w:pPr>
        <w:adjustRightInd w:val="0"/>
        <w:snapToGrid w:val="0"/>
        <w:rPr>
          <w:rFonts w:ascii="仿宋_GB2312" w:eastAsia="仿宋_GB2312" w:hAnsiTheme="majorEastAsia"/>
          <w:sz w:val="32"/>
          <w:szCs w:val="32"/>
        </w:rPr>
      </w:pPr>
      <w:r>
        <w:rPr>
          <w:rFonts w:ascii="仿宋_GB2312" w:eastAsia="仿宋_GB2312" w:hAnsiTheme="majorEastAsia"/>
          <w:noProof/>
          <w:sz w:val="32"/>
          <w:szCs w:val="32"/>
        </w:rPr>
        <w:drawing>
          <wp:inline distT="0" distB="0" distL="0" distR="0">
            <wp:extent cx="5524499" cy="4278455"/>
            <wp:effectExtent l="19050" t="0" r="0" b="0"/>
            <wp:docPr id="1026" name="Image1" descr="F:\PPT\光机电区位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8" cstate="print">
                      <a:extLst>
                        <a:ext uri="{28A0092B-C50C-407E-A947-70E740481C1C}">
                          <a14:useLocalDpi xmlns:a14="http://schemas.microsoft.com/office/drawing/2010/main" val="0"/>
                        </a:ext>
                      </a:extLst>
                    </a:blip>
                    <a:srcRect/>
                    <a:stretch>
                      <a:fillRect/>
                    </a:stretch>
                  </pic:blipFill>
                  <pic:spPr>
                    <a:xfrm>
                      <a:off x="0" y="0"/>
                      <a:ext cx="5524499" cy="4278455"/>
                    </a:xfrm>
                    <a:prstGeom prst="rect">
                      <a:avLst/>
                    </a:prstGeom>
                  </pic:spPr>
                </pic:pic>
              </a:graphicData>
            </a:graphic>
          </wp:inline>
        </w:drawing>
      </w:r>
    </w:p>
    <w:p w:rsidR="0001653F" w:rsidRDefault="002016E5">
      <w:pPr>
        <w:adjustRightInd w:val="0"/>
        <w:snapToGrid w:val="0"/>
        <w:spacing w:line="560" w:lineRule="exact"/>
        <w:ind w:firstLine="420"/>
        <w:rPr>
          <w:rFonts w:ascii="黑体" w:eastAsia="黑体" w:hAnsiTheme="minorEastAsia"/>
          <w:sz w:val="32"/>
          <w:szCs w:val="32"/>
        </w:rPr>
      </w:pPr>
      <w:r>
        <w:rPr>
          <w:rFonts w:ascii="黑体" w:eastAsia="黑体" w:hAnsiTheme="minorEastAsia" w:hint="eastAsia"/>
          <w:sz w:val="32"/>
          <w:szCs w:val="32"/>
        </w:rPr>
        <w:lastRenderedPageBreak/>
        <w:t>二、光机电基地</w:t>
      </w:r>
      <w:r>
        <w:rPr>
          <w:rFonts w:ascii="黑体" w:eastAsia="黑体" w:hAnsiTheme="minorEastAsia" w:hint="eastAsia"/>
          <w:sz w:val="32"/>
          <w:szCs w:val="32"/>
        </w:rPr>
        <w:t>产业落地方向</w:t>
      </w:r>
    </w:p>
    <w:p w:rsidR="0001653F" w:rsidRDefault="002016E5">
      <w:pPr>
        <w:adjustRightInd w:val="0"/>
        <w:snapToGrid w:val="0"/>
        <w:spacing w:line="560" w:lineRule="exact"/>
        <w:ind w:firstLineChars="181" w:firstLine="579"/>
        <w:rPr>
          <w:rFonts w:ascii="仿宋_GB2312" w:eastAsia="仿宋_GB2312" w:hAnsiTheme="minorEastAsia"/>
          <w:sz w:val="32"/>
          <w:szCs w:val="32"/>
        </w:rPr>
      </w:pPr>
      <w:r>
        <w:rPr>
          <w:rFonts w:ascii="仿宋_GB2312" w:eastAsia="仿宋_GB2312" w:hAnsiTheme="minorEastAsia" w:hint="eastAsia"/>
          <w:sz w:val="32"/>
          <w:szCs w:val="32"/>
        </w:rPr>
        <w:t>通过</w:t>
      </w:r>
      <w:r>
        <w:rPr>
          <w:rFonts w:ascii="仿宋_GB2312" w:eastAsia="仿宋_GB2312" w:hAnsiTheme="minorEastAsia" w:hint="eastAsia"/>
          <w:sz w:val="32"/>
          <w:szCs w:val="32"/>
        </w:rPr>
        <w:t>15</w:t>
      </w:r>
      <w:r>
        <w:rPr>
          <w:rFonts w:ascii="仿宋_GB2312" w:eastAsia="仿宋_GB2312" w:hAnsiTheme="minorEastAsia" w:hint="eastAsia"/>
          <w:sz w:val="32"/>
          <w:szCs w:val="32"/>
        </w:rPr>
        <w:t>年的发展建设，目前，光机电基地已初步形成以李宁、</w:t>
      </w:r>
      <w:proofErr w:type="gramStart"/>
      <w:r>
        <w:rPr>
          <w:rFonts w:ascii="仿宋_GB2312" w:eastAsia="仿宋_GB2312" w:hAnsiTheme="minorEastAsia" w:hint="eastAsia"/>
          <w:sz w:val="32"/>
          <w:szCs w:val="32"/>
        </w:rPr>
        <w:t>天宇朗通等</w:t>
      </w:r>
      <w:proofErr w:type="gramEnd"/>
      <w:r>
        <w:rPr>
          <w:rFonts w:ascii="仿宋_GB2312" w:eastAsia="仿宋_GB2312" w:hAnsiTheme="minorEastAsia" w:hint="eastAsia"/>
          <w:sz w:val="32"/>
          <w:szCs w:val="32"/>
        </w:rPr>
        <w:t>为代表的大型总部型产业；</w:t>
      </w:r>
      <w:proofErr w:type="gramStart"/>
      <w:r>
        <w:rPr>
          <w:rFonts w:ascii="仿宋_GB2312" w:eastAsia="仿宋_GB2312" w:hAnsiTheme="minorEastAsia" w:hint="eastAsia"/>
          <w:sz w:val="32"/>
          <w:szCs w:val="32"/>
        </w:rPr>
        <w:t>以岱摩</w:t>
      </w:r>
      <w:proofErr w:type="gramEnd"/>
      <w:r>
        <w:rPr>
          <w:rFonts w:ascii="仿宋_GB2312" w:eastAsia="仿宋_GB2312" w:hAnsiTheme="minorEastAsia" w:hint="eastAsia"/>
          <w:sz w:val="32"/>
          <w:szCs w:val="32"/>
        </w:rPr>
        <w:t>斯、比亚迪等为代表的高端制造业产业；以枢密院、北京国际矿业城、经开国际企业大道等园中园项目为代表的中小企业创新集群三大产业格局。</w:t>
      </w:r>
    </w:p>
    <w:p w:rsidR="0001653F" w:rsidRDefault="002016E5">
      <w:pPr>
        <w:adjustRightInd w:val="0"/>
        <w:snapToGrid w:val="0"/>
        <w:spacing w:line="560" w:lineRule="exact"/>
        <w:ind w:firstLine="420"/>
        <w:rPr>
          <w:rFonts w:ascii="仿宋_GB2312" w:eastAsia="仿宋_GB2312" w:hAnsiTheme="minorEastAsia"/>
          <w:sz w:val="32"/>
          <w:szCs w:val="32"/>
        </w:rPr>
      </w:pPr>
      <w:r>
        <w:rPr>
          <w:rFonts w:ascii="仿宋_GB2312" w:eastAsia="仿宋_GB2312" w:hAnsiTheme="minorEastAsia" w:hint="eastAsia"/>
          <w:sz w:val="32"/>
          <w:szCs w:val="32"/>
        </w:rPr>
        <w:t xml:space="preserve"> </w:t>
      </w:r>
      <w:r>
        <w:rPr>
          <w:rFonts w:ascii="仿宋_GB2312" w:eastAsia="仿宋_GB2312" w:hAnsiTheme="minorEastAsia" w:hint="eastAsia"/>
          <w:sz w:val="32"/>
          <w:szCs w:val="32"/>
        </w:rPr>
        <w:t>随着京津冀一体化战略，以及通州区副中心建设整体规划要求，光机电基地未来发展方向为：京津冀协同发展的桥头堡、创新创业孵化聚集示范区。</w:t>
      </w:r>
    </w:p>
    <w:p w:rsidR="0001653F" w:rsidRDefault="002016E5">
      <w:pPr>
        <w:adjustRightInd w:val="0"/>
        <w:snapToGrid w:val="0"/>
        <w:spacing w:line="560" w:lineRule="exact"/>
        <w:ind w:firstLine="420"/>
        <w:rPr>
          <w:rFonts w:ascii="仿宋_GB2312" w:eastAsia="仿宋_GB2312" w:hAnsi="宋体"/>
          <w:sz w:val="32"/>
          <w:szCs w:val="32"/>
        </w:rPr>
      </w:pPr>
      <w:r>
        <w:rPr>
          <w:rFonts w:ascii="仿宋_GB2312" w:eastAsia="仿宋_GB2312" w:hAnsiTheme="minorEastAsia" w:hint="eastAsia"/>
          <w:sz w:val="32"/>
          <w:szCs w:val="32"/>
        </w:rPr>
        <w:t xml:space="preserve">  </w:t>
      </w:r>
      <w:r>
        <w:rPr>
          <w:rFonts w:ascii="仿宋_GB2312" w:eastAsia="仿宋_GB2312" w:hAnsiTheme="minorEastAsia" w:hint="eastAsia"/>
          <w:sz w:val="32"/>
          <w:szCs w:val="32"/>
        </w:rPr>
        <w:t>光机电基地创新创业聚集效应初步显现，</w:t>
      </w:r>
      <w:r>
        <w:rPr>
          <w:rFonts w:ascii="仿宋_GB2312" w:eastAsia="仿宋_GB2312" w:hint="eastAsia"/>
          <w:sz w:val="32"/>
          <w:szCs w:val="32"/>
        </w:rPr>
        <w:t>目前已落户的孵化器机构有天使街和京</w:t>
      </w:r>
      <w:proofErr w:type="gramStart"/>
      <w:r>
        <w:rPr>
          <w:rFonts w:ascii="仿宋_GB2312" w:eastAsia="仿宋_GB2312" w:hint="eastAsia"/>
          <w:sz w:val="32"/>
          <w:szCs w:val="32"/>
        </w:rPr>
        <w:t>津冀四板</w:t>
      </w:r>
      <w:proofErr w:type="gramEnd"/>
      <w:r>
        <w:rPr>
          <w:rFonts w:ascii="仿宋_GB2312" w:eastAsia="仿宋_GB2312" w:hint="eastAsia"/>
          <w:sz w:val="32"/>
          <w:szCs w:val="32"/>
        </w:rPr>
        <w:t>市场孵化基地。</w:t>
      </w:r>
      <w:r>
        <w:rPr>
          <w:rFonts w:ascii="仿宋_GB2312" w:eastAsia="仿宋_GB2312" w:hint="eastAsia"/>
          <w:sz w:val="32"/>
          <w:szCs w:val="32"/>
        </w:rPr>
        <w:t xml:space="preserve"> </w:t>
      </w:r>
    </w:p>
    <w:p w:rsidR="0001653F" w:rsidRDefault="002016E5">
      <w:pPr>
        <w:adjustRightInd w:val="0"/>
        <w:snapToGrid w:val="0"/>
        <w:spacing w:line="560" w:lineRule="exact"/>
        <w:ind w:firstLine="420"/>
        <w:rPr>
          <w:rFonts w:ascii="黑体" w:eastAsia="黑体" w:hAnsiTheme="minorEastAsia"/>
          <w:sz w:val="32"/>
          <w:szCs w:val="32"/>
        </w:rPr>
      </w:pPr>
      <w:r>
        <w:rPr>
          <w:rFonts w:ascii="黑体" w:eastAsia="黑体" w:hAnsiTheme="minorEastAsia" w:hint="eastAsia"/>
          <w:sz w:val="32"/>
          <w:szCs w:val="32"/>
        </w:rPr>
        <w:t>三、光机电基地招商资源</w:t>
      </w:r>
    </w:p>
    <w:p w:rsidR="0001653F" w:rsidRDefault="002016E5">
      <w:pPr>
        <w:adjustRightInd w:val="0"/>
        <w:snapToGrid w:val="0"/>
        <w:spacing w:line="560" w:lineRule="exact"/>
        <w:ind w:firstLineChars="196" w:firstLine="627"/>
        <w:rPr>
          <w:rFonts w:ascii="仿宋_GB2312" w:eastAsia="仿宋_GB2312" w:hAnsiTheme="minorEastAsia"/>
          <w:sz w:val="32"/>
          <w:szCs w:val="32"/>
        </w:rPr>
      </w:pPr>
      <w:r>
        <w:rPr>
          <w:rFonts w:ascii="仿宋_GB2312" w:eastAsia="仿宋_GB2312" w:hAnsiTheme="minorEastAsia" w:hint="eastAsia"/>
          <w:sz w:val="32"/>
          <w:szCs w:val="32"/>
        </w:rPr>
        <w:t>基地内共有十二</w:t>
      </w:r>
      <w:r>
        <w:rPr>
          <w:rFonts w:ascii="仿宋_GB2312" w:eastAsia="仿宋_GB2312" w:hAnsiTheme="minorEastAsia" w:hint="eastAsia"/>
          <w:sz w:val="32"/>
          <w:szCs w:val="32"/>
        </w:rPr>
        <w:t>个园中园项目，总占地面积约</w:t>
      </w:r>
      <w:r>
        <w:rPr>
          <w:rFonts w:ascii="仿宋_GB2312" w:eastAsia="仿宋_GB2312" w:hAnsiTheme="minorEastAsia" w:hint="eastAsia"/>
          <w:sz w:val="32"/>
          <w:szCs w:val="32"/>
        </w:rPr>
        <w:t>1474.8</w:t>
      </w:r>
      <w:r>
        <w:rPr>
          <w:rFonts w:ascii="仿宋_GB2312" w:eastAsia="仿宋_GB2312" w:hAnsiTheme="minorEastAsia" w:hint="eastAsia"/>
          <w:sz w:val="32"/>
          <w:szCs w:val="32"/>
        </w:rPr>
        <w:t>亩，总建筑面积约</w:t>
      </w:r>
      <w:r>
        <w:rPr>
          <w:rFonts w:ascii="仿宋_GB2312" w:eastAsia="仿宋_GB2312" w:hAnsiTheme="minorEastAsia" w:hint="eastAsia"/>
          <w:sz w:val="32"/>
          <w:szCs w:val="32"/>
        </w:rPr>
        <w:t>156.3</w:t>
      </w:r>
      <w:r>
        <w:rPr>
          <w:rFonts w:ascii="仿宋_GB2312" w:eastAsia="仿宋_GB2312" w:hAnsiTheme="minorEastAsia" w:hint="eastAsia"/>
          <w:sz w:val="32"/>
          <w:szCs w:val="32"/>
        </w:rPr>
        <w:t>万平方米，目前已建成</w:t>
      </w:r>
      <w:r>
        <w:rPr>
          <w:rFonts w:ascii="仿宋_GB2312" w:eastAsia="仿宋_GB2312" w:hAnsiTheme="minorEastAsia" w:hint="eastAsia"/>
          <w:sz w:val="32"/>
          <w:szCs w:val="32"/>
        </w:rPr>
        <w:t>106.8</w:t>
      </w:r>
      <w:r>
        <w:rPr>
          <w:rFonts w:ascii="仿宋_GB2312" w:eastAsia="仿宋_GB2312" w:hAnsiTheme="minorEastAsia" w:hint="eastAsia"/>
          <w:sz w:val="32"/>
          <w:szCs w:val="32"/>
        </w:rPr>
        <w:t>万平方米，剩余可出让</w:t>
      </w:r>
      <w:r>
        <w:rPr>
          <w:rFonts w:ascii="仿宋_GB2312" w:eastAsia="仿宋_GB2312" w:hAnsiTheme="minorEastAsia" w:hint="eastAsia"/>
          <w:sz w:val="32"/>
          <w:szCs w:val="32"/>
        </w:rPr>
        <w:t>64.7</w:t>
      </w:r>
      <w:r>
        <w:rPr>
          <w:rFonts w:ascii="仿宋_GB2312" w:eastAsia="仿宋_GB2312" w:hAnsiTheme="minorEastAsia" w:hint="eastAsia"/>
          <w:sz w:val="32"/>
          <w:szCs w:val="32"/>
        </w:rPr>
        <w:t>万平方米。</w:t>
      </w:r>
      <w:bookmarkStart w:id="0" w:name="_GoBack"/>
      <w:r>
        <w:rPr>
          <w:rFonts w:ascii="仿宋_GB2312" w:eastAsia="仿宋_GB2312" w:hAnsiTheme="minorEastAsia" w:hint="eastAsia"/>
          <w:sz w:val="32"/>
          <w:szCs w:val="32"/>
        </w:rPr>
        <w:t>目前已形成规模的园中园项目有三个，分别为北京经开·国际企业大道Ⅲ项目、北京国际矿业城项目、枢密院项目，以及</w:t>
      </w:r>
      <w:proofErr w:type="gramStart"/>
      <w:r>
        <w:rPr>
          <w:rFonts w:ascii="仿宋_GB2312" w:eastAsia="仿宋_GB2312" w:hAnsiTheme="minorEastAsia" w:hint="eastAsia"/>
          <w:sz w:val="32"/>
          <w:szCs w:val="32"/>
        </w:rPr>
        <w:t>中电科卫星导航</w:t>
      </w:r>
      <w:proofErr w:type="gramEnd"/>
      <w:r>
        <w:rPr>
          <w:rFonts w:ascii="仿宋_GB2312" w:eastAsia="仿宋_GB2312" w:hAnsiTheme="minorEastAsia" w:hint="eastAsia"/>
          <w:sz w:val="32"/>
          <w:szCs w:val="32"/>
        </w:rPr>
        <w:t>产业园项目。</w:t>
      </w:r>
    </w:p>
    <w:bookmarkEnd w:id="0"/>
    <w:p w:rsidR="0001653F" w:rsidRDefault="002016E5">
      <w:pPr>
        <w:adjustRightInd w:val="0"/>
        <w:snapToGrid w:val="0"/>
        <w:spacing w:line="560" w:lineRule="exact"/>
        <w:ind w:firstLineChars="196" w:firstLine="628"/>
        <w:rPr>
          <w:rFonts w:ascii="华文楷体" w:eastAsia="华文楷体" w:hAnsi="华文楷体"/>
          <w:b/>
          <w:sz w:val="32"/>
          <w:szCs w:val="32"/>
        </w:rPr>
      </w:pPr>
      <w:r>
        <w:rPr>
          <w:rFonts w:ascii="华文楷体" w:eastAsia="华文楷体" w:hAnsi="华文楷体" w:hint="eastAsia"/>
          <w:b/>
          <w:sz w:val="32"/>
          <w:szCs w:val="32"/>
        </w:rPr>
        <w:t>（一）北京经开·国际企业大道Ⅲ项目</w:t>
      </w:r>
    </w:p>
    <w:p w:rsidR="0001653F" w:rsidRDefault="002016E5">
      <w:pPr>
        <w:adjustRightInd w:val="0"/>
        <w:snapToGrid w:val="0"/>
        <w:spacing w:line="560" w:lineRule="exact"/>
        <w:ind w:firstLine="420"/>
        <w:rPr>
          <w:rFonts w:ascii="仿宋_GB2312" w:eastAsia="仿宋_GB2312"/>
          <w:sz w:val="32"/>
          <w:szCs w:val="32"/>
        </w:rPr>
      </w:pPr>
      <w:r>
        <w:rPr>
          <w:rFonts w:ascii="仿宋_GB2312" w:eastAsia="仿宋_GB2312" w:hint="eastAsia"/>
          <w:sz w:val="32"/>
          <w:szCs w:val="32"/>
        </w:rPr>
        <w:t>北京经开</w:t>
      </w:r>
      <w:r>
        <w:rPr>
          <w:rFonts w:ascii="仿宋_GB2312" w:eastAsia="仿宋_GB2312"/>
          <w:sz w:val="32"/>
          <w:szCs w:val="32"/>
        </w:rPr>
        <w:t>·</w:t>
      </w:r>
      <w:r>
        <w:rPr>
          <w:rFonts w:ascii="仿宋_GB2312" w:eastAsia="仿宋_GB2312" w:hint="eastAsia"/>
          <w:sz w:val="32"/>
          <w:szCs w:val="32"/>
        </w:rPr>
        <w:t>国际企业大道Ⅲ</w:t>
      </w:r>
      <w:proofErr w:type="gramStart"/>
      <w:r>
        <w:rPr>
          <w:rFonts w:ascii="仿宋_GB2312" w:eastAsia="仿宋_GB2312" w:hint="eastAsia"/>
          <w:sz w:val="32"/>
          <w:szCs w:val="32"/>
        </w:rPr>
        <w:t>项目项目</w:t>
      </w:r>
      <w:proofErr w:type="gramEnd"/>
      <w:r>
        <w:rPr>
          <w:rFonts w:ascii="仿宋_GB2312" w:eastAsia="仿宋_GB2312" w:hint="eastAsia"/>
          <w:sz w:val="32"/>
          <w:szCs w:val="32"/>
        </w:rPr>
        <w:t>为工业用地性质，目前项目</w:t>
      </w:r>
      <w:r>
        <w:rPr>
          <w:rFonts w:ascii="仿宋_GB2312" w:eastAsia="仿宋_GB2312" w:hint="eastAsia"/>
          <w:sz w:val="32"/>
          <w:szCs w:val="32"/>
        </w:rPr>
        <w:t>G130</w:t>
      </w:r>
      <w:r>
        <w:rPr>
          <w:rFonts w:ascii="仿宋_GB2312" w:eastAsia="仿宋_GB2312" w:hint="eastAsia"/>
          <w:sz w:val="32"/>
          <w:szCs w:val="32"/>
        </w:rPr>
        <w:t>地块剩余</w:t>
      </w:r>
      <w:r>
        <w:rPr>
          <w:rFonts w:ascii="仿宋_GB2312" w:eastAsia="仿宋_GB2312" w:hint="eastAsia"/>
          <w:sz w:val="32"/>
          <w:szCs w:val="32"/>
        </w:rPr>
        <w:t>33</w:t>
      </w:r>
      <w:r>
        <w:rPr>
          <w:rFonts w:ascii="仿宋_GB2312" w:eastAsia="仿宋_GB2312" w:hint="eastAsia"/>
          <w:sz w:val="32"/>
          <w:szCs w:val="32"/>
        </w:rPr>
        <w:t>栋，共计</w:t>
      </w:r>
      <w:r>
        <w:rPr>
          <w:rFonts w:ascii="仿宋_GB2312" w:eastAsia="仿宋_GB2312" w:hint="eastAsia"/>
          <w:sz w:val="32"/>
          <w:szCs w:val="32"/>
        </w:rPr>
        <w:t>14.3</w:t>
      </w:r>
      <w:r>
        <w:rPr>
          <w:rFonts w:ascii="仿宋_GB2312" w:eastAsia="仿宋_GB2312" w:hint="eastAsia"/>
          <w:sz w:val="32"/>
          <w:szCs w:val="32"/>
        </w:rPr>
        <w:t>万平方米。建筑内部空间可灵活布局，自由分割组合，实现平面使用效率最大化，满足不同类型企业的办公需求。</w:t>
      </w:r>
    </w:p>
    <w:p w:rsidR="0001653F" w:rsidRDefault="002016E5">
      <w:pPr>
        <w:pStyle w:val="a6"/>
        <w:adjustRightInd w:val="0"/>
        <w:snapToGrid w:val="0"/>
        <w:spacing w:line="240" w:lineRule="auto"/>
        <w:ind w:left="3685" w:hangingChars="1147" w:hanging="3685"/>
        <w:jc w:val="center"/>
        <w:rPr>
          <w:rFonts w:ascii="楷体_GB2312" w:eastAsia="楷体_GB2312" w:hAnsiTheme="minorEastAsia"/>
          <w:b/>
          <w:szCs w:val="32"/>
        </w:rPr>
      </w:pPr>
      <w:r>
        <w:rPr>
          <w:rFonts w:ascii="楷体_GB2312" w:eastAsia="楷体_GB2312" w:hAnsiTheme="minorEastAsia"/>
          <w:b/>
          <w:noProof/>
          <w:szCs w:val="32"/>
        </w:rPr>
        <w:lastRenderedPageBreak/>
        <w:drawing>
          <wp:inline distT="0" distB="0" distL="0" distR="0">
            <wp:extent cx="3943350" cy="2276474"/>
            <wp:effectExtent l="19050" t="0" r="0" b="0"/>
            <wp:docPr id="1027" name="Image1" descr="B17I0252"/>
            <wp:cNvGraphicFramePr/>
            <a:graphic xmlns:a="http://schemas.openxmlformats.org/drawingml/2006/main">
              <a:graphicData uri="http://schemas.openxmlformats.org/drawingml/2006/picture">
                <pic:pic xmlns:pic="http://schemas.openxmlformats.org/drawingml/2006/picture">
                  <pic:nvPicPr>
                    <pic:cNvPr id="1" name="Image"/>
                    <pic:cNvPicPr/>
                  </pic:nvPicPr>
                  <pic:blipFill rotWithShape="1">
                    <a:blip r:embed="rId9" cstate="print">
                      <a:extLst>
                        <a:ext uri="{28A0092B-C50C-407E-A947-70E740481C1C}">
                          <a14:useLocalDpi xmlns:a14="http://schemas.microsoft.com/office/drawing/2010/main" val="0"/>
                        </a:ext>
                      </a:extLst>
                    </a:blip>
                    <a:srcRect/>
                    <a:stretch>
                      <a:fillRect/>
                    </a:stretch>
                  </pic:blipFill>
                  <pic:spPr>
                    <a:xfrm>
                      <a:off x="0" y="0"/>
                      <a:ext cx="3943350" cy="2276474"/>
                    </a:xfrm>
                    <a:prstGeom prst="rect">
                      <a:avLst/>
                    </a:prstGeom>
                  </pic:spPr>
                </pic:pic>
              </a:graphicData>
            </a:graphic>
          </wp:inline>
        </w:drawing>
      </w:r>
    </w:p>
    <w:p w:rsidR="0001653F" w:rsidRDefault="002016E5">
      <w:pPr>
        <w:adjustRightInd w:val="0"/>
        <w:snapToGrid w:val="0"/>
        <w:spacing w:line="560" w:lineRule="exact"/>
        <w:ind w:firstLineChars="196" w:firstLine="628"/>
        <w:rPr>
          <w:rFonts w:ascii="华文楷体" w:eastAsia="华文楷体" w:hAnsi="华文楷体"/>
          <w:b/>
          <w:sz w:val="32"/>
          <w:szCs w:val="32"/>
        </w:rPr>
      </w:pPr>
      <w:r>
        <w:rPr>
          <w:rFonts w:ascii="华文楷体" w:eastAsia="华文楷体" w:hAnsi="华文楷体" w:hint="eastAsia"/>
          <w:b/>
          <w:sz w:val="32"/>
          <w:szCs w:val="32"/>
        </w:rPr>
        <w:t>（二）</w:t>
      </w:r>
      <w:r>
        <w:rPr>
          <w:rFonts w:ascii="华文楷体" w:eastAsia="华文楷体" w:hAnsi="华文楷体" w:hint="eastAsia"/>
          <w:b/>
          <w:sz w:val="32"/>
          <w:szCs w:val="32"/>
        </w:rPr>
        <w:t>北京国际矿业城项目</w:t>
      </w:r>
    </w:p>
    <w:p w:rsidR="0001653F" w:rsidRDefault="002016E5">
      <w:pPr>
        <w:adjustRightInd w:val="0"/>
        <w:snapToGrid w:val="0"/>
        <w:spacing w:line="560" w:lineRule="exact"/>
        <w:ind w:firstLine="420"/>
        <w:rPr>
          <w:rFonts w:ascii="仿宋_GB2312" w:eastAsia="仿宋_GB2312" w:hAnsi="宋体"/>
          <w:sz w:val="32"/>
          <w:szCs w:val="32"/>
        </w:rPr>
      </w:pPr>
      <w:r>
        <w:rPr>
          <w:rFonts w:ascii="仿宋_GB2312" w:eastAsia="仿宋_GB2312" w:hint="eastAsia"/>
          <w:sz w:val="32"/>
          <w:szCs w:val="32"/>
        </w:rPr>
        <w:t>北京国际矿业城项目为工业用地性质项目总占地面积</w:t>
      </w:r>
      <w:r>
        <w:rPr>
          <w:rFonts w:ascii="仿宋_GB2312" w:eastAsia="仿宋_GB2312" w:hint="eastAsia"/>
          <w:sz w:val="32"/>
          <w:szCs w:val="32"/>
        </w:rPr>
        <w:t>219</w:t>
      </w:r>
      <w:r>
        <w:rPr>
          <w:rFonts w:ascii="仿宋_GB2312" w:eastAsia="仿宋_GB2312" w:hint="eastAsia"/>
          <w:sz w:val="32"/>
          <w:szCs w:val="32"/>
        </w:rPr>
        <w:t>亩，总建筑面积</w:t>
      </w:r>
      <w:r>
        <w:rPr>
          <w:rFonts w:ascii="仿宋_GB2312" w:eastAsia="仿宋_GB2312" w:hint="eastAsia"/>
          <w:sz w:val="32"/>
          <w:szCs w:val="32"/>
        </w:rPr>
        <w:t>26.6</w:t>
      </w:r>
      <w:r>
        <w:rPr>
          <w:rFonts w:ascii="仿宋_GB2312" w:eastAsia="仿宋_GB2312" w:hint="eastAsia"/>
          <w:sz w:val="32"/>
          <w:szCs w:val="32"/>
        </w:rPr>
        <w:t>万平米，分三期建设，一期和二期总建筑面积</w:t>
      </w:r>
      <w:r>
        <w:rPr>
          <w:rFonts w:ascii="仿宋_GB2312" w:eastAsia="仿宋_GB2312" w:hint="eastAsia"/>
          <w:sz w:val="32"/>
          <w:szCs w:val="32"/>
        </w:rPr>
        <w:t>13.6</w:t>
      </w:r>
      <w:r>
        <w:rPr>
          <w:rFonts w:ascii="仿宋_GB2312" w:eastAsia="仿宋_GB2312" w:hint="eastAsia"/>
          <w:sz w:val="32"/>
          <w:szCs w:val="32"/>
        </w:rPr>
        <w:t>万平米，共</w:t>
      </w:r>
      <w:r>
        <w:rPr>
          <w:rFonts w:ascii="仿宋_GB2312" w:eastAsia="仿宋_GB2312" w:hint="eastAsia"/>
          <w:sz w:val="32"/>
          <w:szCs w:val="32"/>
        </w:rPr>
        <w:t>58</w:t>
      </w:r>
      <w:r>
        <w:rPr>
          <w:rFonts w:ascii="仿宋_GB2312" w:eastAsia="仿宋_GB2312" w:hint="eastAsia"/>
          <w:sz w:val="32"/>
          <w:szCs w:val="32"/>
        </w:rPr>
        <w:t>栋，三期共</w:t>
      </w:r>
      <w:r>
        <w:rPr>
          <w:rFonts w:ascii="仿宋_GB2312" w:eastAsia="仿宋_GB2312" w:hint="eastAsia"/>
          <w:sz w:val="32"/>
          <w:szCs w:val="32"/>
        </w:rPr>
        <w:t>11</w:t>
      </w:r>
      <w:r>
        <w:rPr>
          <w:rFonts w:ascii="仿宋_GB2312" w:eastAsia="仿宋_GB2312" w:hint="eastAsia"/>
          <w:sz w:val="32"/>
          <w:szCs w:val="32"/>
        </w:rPr>
        <w:t>栋楼，待建，目前一期二期共剩余</w:t>
      </w:r>
      <w:r>
        <w:rPr>
          <w:rFonts w:ascii="仿宋_GB2312" w:eastAsia="仿宋_GB2312" w:hint="eastAsia"/>
          <w:sz w:val="32"/>
          <w:szCs w:val="32"/>
        </w:rPr>
        <w:t>41</w:t>
      </w:r>
      <w:r>
        <w:rPr>
          <w:rFonts w:ascii="仿宋_GB2312" w:eastAsia="仿宋_GB2312" w:hint="eastAsia"/>
          <w:sz w:val="32"/>
          <w:szCs w:val="32"/>
        </w:rPr>
        <w:t>栋，总空置面积</w:t>
      </w:r>
      <w:r>
        <w:rPr>
          <w:rFonts w:ascii="仿宋_GB2312" w:eastAsia="仿宋_GB2312" w:hint="eastAsia"/>
          <w:sz w:val="32"/>
          <w:szCs w:val="32"/>
        </w:rPr>
        <w:t>9.5</w:t>
      </w:r>
      <w:r>
        <w:rPr>
          <w:rFonts w:ascii="仿宋_GB2312" w:eastAsia="仿宋_GB2312" w:hint="eastAsia"/>
          <w:sz w:val="32"/>
          <w:szCs w:val="32"/>
        </w:rPr>
        <w:t>万平方米。</w:t>
      </w:r>
      <w:r>
        <w:rPr>
          <w:rFonts w:ascii="仿宋_GB2312" w:eastAsia="仿宋_GB2312" w:hint="eastAsia"/>
          <w:sz w:val="32"/>
          <w:szCs w:val="32"/>
        </w:rPr>
        <w:t xml:space="preserve"> </w:t>
      </w:r>
    </w:p>
    <w:p w:rsidR="0001653F" w:rsidRDefault="002016E5">
      <w:pPr>
        <w:adjustRightInd w:val="0"/>
        <w:snapToGrid w:val="0"/>
        <w:ind w:firstLineChars="200" w:firstLine="640"/>
        <w:jc w:val="center"/>
        <w:rPr>
          <w:rFonts w:ascii="仿宋_GB2312" w:eastAsia="仿宋_GB2312" w:hAnsi="宋体"/>
          <w:sz w:val="32"/>
          <w:szCs w:val="32"/>
        </w:rPr>
      </w:pPr>
      <w:r>
        <w:rPr>
          <w:rFonts w:ascii="仿宋_GB2312" w:eastAsia="仿宋_GB2312" w:hAnsi="宋体"/>
          <w:noProof/>
          <w:sz w:val="32"/>
          <w:szCs w:val="32"/>
        </w:rPr>
        <w:drawing>
          <wp:inline distT="0" distB="0" distL="0" distR="0">
            <wp:extent cx="4362450" cy="2476500"/>
            <wp:effectExtent l="19050" t="0" r="0" b="0"/>
            <wp:docPr id="1028" name="Image1" descr="2089722468.jpg"/>
            <wp:cNvGraphicFramePr/>
            <a:graphic xmlns:a="http://schemas.openxmlformats.org/drawingml/2006/main">
              <a:graphicData uri="http://schemas.openxmlformats.org/drawingml/2006/picture">
                <pic:pic xmlns:pic="http://schemas.openxmlformats.org/drawingml/2006/picture">
                  <pic:nvPicPr>
                    <pic:cNvPr id="2" name="Image"/>
                    <pic:cNvPicPr/>
                  </pic:nvPicPr>
                  <pic:blipFill rotWithShape="1">
                    <a:blip r:embed="rId10" cstate="print">
                      <a:extLst>
                        <a:ext uri="{28A0092B-C50C-407E-A947-70E740481C1C}">
                          <a14:useLocalDpi xmlns:a14="http://schemas.microsoft.com/office/drawing/2010/main" val="0"/>
                        </a:ext>
                      </a:extLst>
                    </a:blip>
                    <a:srcRect/>
                    <a:stretch>
                      <a:fillRect/>
                    </a:stretch>
                  </pic:blipFill>
                  <pic:spPr>
                    <a:xfrm>
                      <a:off x="0" y="0"/>
                      <a:ext cx="4362450" cy="2476500"/>
                    </a:xfrm>
                    <a:prstGeom prst="rect">
                      <a:avLst/>
                    </a:prstGeom>
                  </pic:spPr>
                </pic:pic>
              </a:graphicData>
            </a:graphic>
          </wp:inline>
        </w:drawing>
      </w:r>
    </w:p>
    <w:p w:rsidR="0001653F" w:rsidRDefault="002016E5">
      <w:pPr>
        <w:adjustRightInd w:val="0"/>
        <w:snapToGrid w:val="0"/>
        <w:spacing w:line="560" w:lineRule="exact"/>
        <w:ind w:firstLineChars="196" w:firstLine="628"/>
        <w:rPr>
          <w:rFonts w:ascii="华文楷体" w:eastAsia="华文楷体" w:hAnsi="华文楷体"/>
          <w:b/>
          <w:sz w:val="32"/>
          <w:szCs w:val="32"/>
        </w:rPr>
      </w:pPr>
      <w:r>
        <w:rPr>
          <w:rFonts w:ascii="华文楷体" w:eastAsia="华文楷体" w:hAnsi="华文楷体" w:hint="eastAsia"/>
          <w:b/>
          <w:sz w:val="32"/>
          <w:szCs w:val="32"/>
        </w:rPr>
        <w:t>（三）枢密院项目</w:t>
      </w:r>
    </w:p>
    <w:p w:rsidR="0001653F" w:rsidRDefault="002016E5">
      <w:pPr>
        <w:pStyle w:val="a6"/>
        <w:adjustRightInd w:val="0"/>
        <w:snapToGrid w:val="0"/>
        <w:spacing w:line="560" w:lineRule="exact"/>
        <w:ind w:firstLineChars="221" w:firstLine="707"/>
        <w:rPr>
          <w:rFonts w:ascii="仿宋_GB2312" w:eastAsia="仿宋_GB2312" w:hAnsi="仿宋"/>
          <w:szCs w:val="32"/>
        </w:rPr>
      </w:pPr>
      <w:r w:rsidRPr="008E1BF7">
        <w:rPr>
          <w:rFonts w:ascii="仿宋_GB2312" w:eastAsia="仿宋_GB2312" w:hAnsi="仿宋"/>
          <w:szCs w:val="32"/>
          <w:highlight w:val="yellow"/>
        </w:rPr>
        <w:t>“</w:t>
      </w:r>
      <w:r w:rsidRPr="008E1BF7">
        <w:rPr>
          <w:rFonts w:ascii="仿宋_GB2312" w:eastAsia="仿宋_GB2312" w:hAnsi="仿宋" w:hint="eastAsia"/>
          <w:szCs w:val="32"/>
          <w:highlight w:val="yellow"/>
        </w:rPr>
        <w:t>枢密院</w:t>
      </w:r>
      <w:r w:rsidRPr="008E1BF7">
        <w:rPr>
          <w:rFonts w:ascii="仿宋_GB2312" w:eastAsia="仿宋_GB2312" w:hAnsi="仿宋"/>
          <w:szCs w:val="32"/>
          <w:highlight w:val="yellow"/>
        </w:rPr>
        <w:t>”</w:t>
      </w:r>
      <w:r w:rsidRPr="008E1BF7">
        <w:rPr>
          <w:rFonts w:ascii="仿宋_GB2312" w:eastAsia="仿宋_GB2312" w:hAnsi="仿宋" w:hint="eastAsia"/>
          <w:szCs w:val="32"/>
          <w:highlight w:val="yellow"/>
        </w:rPr>
        <w:t>品牌系列拥有枢密院、尖子班、飞白项目，其中枢密院项目为工业用地，一期已经售罄，二期剩余</w:t>
      </w:r>
      <w:r w:rsidRPr="008E1BF7">
        <w:rPr>
          <w:rFonts w:ascii="仿宋_GB2312" w:eastAsia="仿宋_GB2312" w:hAnsi="仿宋" w:hint="eastAsia"/>
          <w:szCs w:val="32"/>
          <w:highlight w:val="yellow"/>
        </w:rPr>
        <w:t>4</w:t>
      </w:r>
      <w:r w:rsidRPr="008E1BF7">
        <w:rPr>
          <w:rFonts w:ascii="仿宋_GB2312" w:eastAsia="仿宋_GB2312" w:hAnsi="仿宋" w:hint="eastAsia"/>
          <w:szCs w:val="32"/>
          <w:highlight w:val="yellow"/>
        </w:rPr>
        <w:t>栋，共计</w:t>
      </w:r>
      <w:r w:rsidRPr="008E1BF7">
        <w:rPr>
          <w:rFonts w:ascii="仿宋_GB2312" w:eastAsia="仿宋_GB2312" w:hAnsi="仿宋" w:hint="eastAsia"/>
          <w:szCs w:val="32"/>
          <w:highlight w:val="yellow"/>
        </w:rPr>
        <w:t>47807</w:t>
      </w:r>
      <w:r w:rsidRPr="008E1BF7">
        <w:rPr>
          <w:rFonts w:ascii="仿宋_GB2312" w:eastAsia="仿宋_GB2312" w:hAnsi="仿宋" w:hint="eastAsia"/>
          <w:szCs w:val="32"/>
          <w:highlight w:val="yellow"/>
        </w:rPr>
        <w:t>平方米</w:t>
      </w:r>
      <w:r w:rsidRPr="008E1BF7">
        <w:rPr>
          <w:rFonts w:ascii="仿宋_GB2312" w:eastAsia="仿宋_GB2312" w:hAnsi="仿宋" w:hint="eastAsia"/>
          <w:szCs w:val="32"/>
          <w:highlight w:val="yellow"/>
        </w:rPr>
        <w:t>,</w:t>
      </w:r>
      <w:r>
        <w:rPr>
          <w:rFonts w:ascii="仿宋_GB2312" w:eastAsia="仿宋_GB2312" w:hAnsi="仿宋" w:hint="eastAsia"/>
          <w:szCs w:val="32"/>
        </w:rPr>
        <w:t>1</w:t>
      </w:r>
      <w:r>
        <w:rPr>
          <w:rFonts w:ascii="仿宋_GB2312" w:eastAsia="仿宋_GB2312" w:hAnsi="仿宋" w:hint="eastAsia"/>
          <w:szCs w:val="32"/>
        </w:rPr>
        <w:t>号楼</w:t>
      </w:r>
      <w:r>
        <w:rPr>
          <w:rFonts w:ascii="仿宋_GB2312" w:eastAsia="仿宋_GB2312" w:hAnsi="仿宋" w:hint="eastAsia"/>
          <w:szCs w:val="32"/>
        </w:rPr>
        <w:t>29847</w:t>
      </w:r>
      <w:r>
        <w:rPr>
          <w:rFonts w:ascii="仿宋_GB2312" w:eastAsia="仿宋_GB2312" w:hAnsi="仿宋" w:hint="eastAsia"/>
          <w:szCs w:val="32"/>
        </w:rPr>
        <w:t>平米、</w:t>
      </w:r>
      <w:r>
        <w:rPr>
          <w:rFonts w:ascii="仿宋_GB2312" w:eastAsia="仿宋_GB2312" w:hAnsi="仿宋" w:hint="eastAsia"/>
          <w:szCs w:val="32"/>
        </w:rPr>
        <w:t>2</w:t>
      </w:r>
      <w:r>
        <w:rPr>
          <w:rFonts w:ascii="仿宋_GB2312" w:eastAsia="仿宋_GB2312" w:hAnsi="仿宋" w:hint="eastAsia"/>
          <w:szCs w:val="32"/>
        </w:rPr>
        <w:t>号楼</w:t>
      </w:r>
      <w:r>
        <w:rPr>
          <w:rFonts w:ascii="仿宋_GB2312" w:eastAsia="仿宋_GB2312" w:hAnsi="仿宋" w:hint="eastAsia"/>
          <w:szCs w:val="32"/>
        </w:rPr>
        <w:t>5349</w:t>
      </w:r>
      <w:r>
        <w:rPr>
          <w:rFonts w:ascii="仿宋_GB2312" w:eastAsia="仿宋_GB2312" w:hAnsi="仿宋" w:hint="eastAsia"/>
          <w:szCs w:val="32"/>
        </w:rPr>
        <w:t>平米、</w:t>
      </w:r>
      <w:r>
        <w:rPr>
          <w:rFonts w:ascii="仿宋_GB2312" w:eastAsia="仿宋_GB2312" w:hAnsi="仿宋" w:hint="eastAsia"/>
          <w:szCs w:val="32"/>
        </w:rPr>
        <w:t>3</w:t>
      </w:r>
      <w:r>
        <w:rPr>
          <w:rFonts w:ascii="仿宋_GB2312" w:eastAsia="仿宋_GB2312" w:hAnsi="仿宋" w:hint="eastAsia"/>
          <w:szCs w:val="32"/>
        </w:rPr>
        <w:t>号楼</w:t>
      </w:r>
      <w:r>
        <w:rPr>
          <w:rFonts w:ascii="仿宋_GB2312" w:eastAsia="仿宋_GB2312" w:hAnsi="仿宋" w:hint="eastAsia"/>
          <w:szCs w:val="32"/>
        </w:rPr>
        <w:t>9071</w:t>
      </w:r>
      <w:r>
        <w:rPr>
          <w:rFonts w:ascii="仿宋_GB2312" w:eastAsia="仿宋_GB2312" w:hAnsi="仿宋" w:hint="eastAsia"/>
          <w:szCs w:val="32"/>
        </w:rPr>
        <w:t>平米、</w:t>
      </w:r>
      <w:r>
        <w:rPr>
          <w:rFonts w:ascii="仿宋_GB2312" w:eastAsia="仿宋_GB2312" w:hAnsi="仿宋" w:hint="eastAsia"/>
          <w:szCs w:val="32"/>
        </w:rPr>
        <w:t>4</w:t>
      </w:r>
      <w:r>
        <w:rPr>
          <w:rFonts w:ascii="仿宋_GB2312" w:eastAsia="仿宋_GB2312" w:hAnsi="仿宋" w:hint="eastAsia"/>
          <w:szCs w:val="32"/>
        </w:rPr>
        <w:t>号楼</w:t>
      </w:r>
      <w:r>
        <w:rPr>
          <w:rFonts w:ascii="仿宋_GB2312" w:eastAsia="仿宋_GB2312" w:hAnsi="仿宋" w:hint="eastAsia"/>
          <w:szCs w:val="32"/>
        </w:rPr>
        <w:t>3540</w:t>
      </w:r>
      <w:r>
        <w:rPr>
          <w:rFonts w:ascii="仿宋_GB2312" w:eastAsia="仿宋_GB2312" w:hAnsi="仿宋" w:hint="eastAsia"/>
          <w:szCs w:val="32"/>
        </w:rPr>
        <w:t>平米</w:t>
      </w:r>
      <w:r>
        <w:rPr>
          <w:rFonts w:ascii="仿宋_GB2312" w:eastAsia="仿宋_GB2312" w:hAnsi="仿宋" w:hint="eastAsia"/>
          <w:szCs w:val="32"/>
        </w:rPr>
        <w:t>；尖子</w:t>
      </w:r>
      <w:proofErr w:type="gramStart"/>
      <w:r>
        <w:rPr>
          <w:rFonts w:ascii="仿宋_GB2312" w:eastAsia="仿宋_GB2312" w:hAnsi="仿宋" w:hint="eastAsia"/>
          <w:szCs w:val="32"/>
        </w:rPr>
        <w:t>班项目</w:t>
      </w:r>
      <w:proofErr w:type="gramEnd"/>
      <w:r>
        <w:rPr>
          <w:rFonts w:ascii="仿宋_GB2312" w:eastAsia="仿宋_GB2312" w:hAnsi="仿宋" w:hint="eastAsia"/>
          <w:szCs w:val="32"/>
        </w:rPr>
        <w:t>为</w:t>
      </w:r>
      <w:r>
        <w:rPr>
          <w:rFonts w:ascii="仿宋_GB2312" w:eastAsia="仿宋_GB2312" w:hAnsi="仿宋" w:hint="eastAsia"/>
          <w:szCs w:val="32"/>
        </w:rPr>
        <w:t>F3</w:t>
      </w:r>
      <w:r>
        <w:rPr>
          <w:rFonts w:ascii="仿宋_GB2312" w:eastAsia="仿宋_GB2312" w:hAnsi="仿宋" w:hint="eastAsia"/>
          <w:szCs w:val="32"/>
        </w:rPr>
        <w:t>多功能用地，目前剩余</w:t>
      </w:r>
      <w:r>
        <w:rPr>
          <w:rFonts w:ascii="仿宋_GB2312" w:eastAsia="仿宋_GB2312" w:hAnsi="仿宋" w:hint="eastAsia"/>
          <w:szCs w:val="32"/>
        </w:rPr>
        <w:t>3.5</w:t>
      </w:r>
      <w:r>
        <w:rPr>
          <w:rFonts w:ascii="仿宋_GB2312" w:eastAsia="仿宋_GB2312" w:hAnsi="仿宋" w:hint="eastAsia"/>
          <w:szCs w:val="32"/>
        </w:rPr>
        <w:t>万平方米。</w:t>
      </w:r>
    </w:p>
    <w:p w:rsidR="0001653F" w:rsidRDefault="002016E5">
      <w:pPr>
        <w:adjustRightInd w:val="0"/>
        <w:snapToGrid w:val="0"/>
        <w:jc w:val="center"/>
        <w:rPr>
          <w:rFonts w:ascii="仿宋_GB2312" w:eastAsia="仿宋_GB2312" w:hAnsi="仿宋"/>
          <w:sz w:val="32"/>
          <w:szCs w:val="32"/>
        </w:rPr>
      </w:pPr>
      <w:r>
        <w:rPr>
          <w:rFonts w:ascii="仿宋_GB2312" w:eastAsia="仿宋_GB2312" w:hAnsi="仿宋" w:hint="eastAsia"/>
          <w:noProof/>
          <w:sz w:val="32"/>
          <w:szCs w:val="32"/>
        </w:rPr>
        <w:lastRenderedPageBreak/>
        <w:drawing>
          <wp:inline distT="0" distB="0" distL="0" distR="0">
            <wp:extent cx="3276599" cy="2847974"/>
            <wp:effectExtent l="19050" t="0" r="0" b="0"/>
            <wp:docPr id="1029" name="Image1" descr="枢密院001.jpg"/>
            <wp:cNvGraphicFramePr/>
            <a:graphic xmlns:a="http://schemas.openxmlformats.org/drawingml/2006/main">
              <a:graphicData uri="http://schemas.openxmlformats.org/drawingml/2006/picture">
                <pic:pic xmlns:pic="http://schemas.openxmlformats.org/drawingml/2006/picture">
                  <pic:nvPicPr>
                    <pic:cNvPr id="3" name="Image"/>
                    <pic:cNvPicPr/>
                  </pic:nvPicPr>
                  <pic:blipFill rotWithShape="1">
                    <a:blip r:embed="rId11" cstate="print">
                      <a:extLst>
                        <a:ext uri="{28A0092B-C50C-407E-A947-70E740481C1C}">
                          <a14:useLocalDpi xmlns:a14="http://schemas.microsoft.com/office/drawing/2010/main" val="0"/>
                        </a:ext>
                      </a:extLst>
                    </a:blip>
                    <a:srcRect/>
                    <a:stretch>
                      <a:fillRect/>
                    </a:stretch>
                  </pic:blipFill>
                  <pic:spPr>
                    <a:xfrm>
                      <a:off x="0" y="0"/>
                      <a:ext cx="3276599" cy="2847974"/>
                    </a:xfrm>
                    <a:prstGeom prst="rect">
                      <a:avLst/>
                    </a:prstGeom>
                  </pic:spPr>
                </pic:pic>
              </a:graphicData>
            </a:graphic>
          </wp:inline>
        </w:drawing>
      </w:r>
    </w:p>
    <w:p w:rsidR="0001653F" w:rsidRDefault="002016E5">
      <w:pPr>
        <w:adjustRightInd w:val="0"/>
        <w:snapToGrid w:val="0"/>
        <w:spacing w:line="560" w:lineRule="exact"/>
        <w:ind w:firstLineChars="196" w:firstLine="628"/>
        <w:rPr>
          <w:rFonts w:ascii="华文楷体" w:eastAsia="华文楷体" w:hAnsi="华文楷体"/>
          <w:b/>
          <w:sz w:val="32"/>
          <w:szCs w:val="32"/>
        </w:rPr>
      </w:pPr>
      <w:r>
        <w:rPr>
          <w:rFonts w:ascii="华文楷体" w:eastAsia="华文楷体" w:hAnsi="华文楷体" w:hint="eastAsia"/>
          <w:b/>
          <w:sz w:val="32"/>
          <w:szCs w:val="32"/>
        </w:rPr>
        <w:t>（四）</w:t>
      </w:r>
      <w:proofErr w:type="gramStart"/>
      <w:r>
        <w:rPr>
          <w:rFonts w:ascii="华文楷体" w:eastAsia="华文楷体" w:hAnsi="华文楷体" w:hint="eastAsia"/>
          <w:b/>
          <w:sz w:val="32"/>
          <w:szCs w:val="32"/>
        </w:rPr>
        <w:t>中电科卫星导航</w:t>
      </w:r>
      <w:proofErr w:type="gramEnd"/>
      <w:r>
        <w:rPr>
          <w:rFonts w:ascii="华文楷体" w:eastAsia="华文楷体" w:hAnsi="华文楷体" w:hint="eastAsia"/>
          <w:b/>
          <w:sz w:val="32"/>
          <w:szCs w:val="32"/>
        </w:rPr>
        <w:t>产业园</w:t>
      </w:r>
    </w:p>
    <w:p w:rsidR="0001653F" w:rsidRDefault="002016E5">
      <w:pPr>
        <w:pStyle w:val="a6"/>
        <w:adjustRightInd w:val="0"/>
        <w:snapToGrid w:val="0"/>
        <w:spacing w:line="560" w:lineRule="exact"/>
        <w:ind w:firstLineChars="221" w:firstLine="707"/>
        <w:rPr>
          <w:rFonts w:ascii="仿宋_GB2312" w:eastAsia="仿宋_GB2312" w:hAnsi="仿宋"/>
          <w:szCs w:val="32"/>
        </w:rPr>
      </w:pPr>
      <w:r w:rsidRPr="008E1BF7">
        <w:rPr>
          <w:rFonts w:ascii="仿宋_GB2312" w:eastAsia="仿宋_GB2312" w:hAnsi="仿宋" w:hint="eastAsia"/>
          <w:szCs w:val="32"/>
          <w:highlight w:val="yellow"/>
        </w:rPr>
        <w:t>北京</w:t>
      </w:r>
      <w:proofErr w:type="gramStart"/>
      <w:r w:rsidRPr="008E1BF7">
        <w:rPr>
          <w:rFonts w:ascii="仿宋_GB2312" w:eastAsia="仿宋_GB2312" w:hAnsi="仿宋" w:hint="eastAsia"/>
          <w:szCs w:val="32"/>
          <w:highlight w:val="yellow"/>
        </w:rPr>
        <w:t>中电科卫星导航系统</w:t>
      </w:r>
      <w:proofErr w:type="gramEnd"/>
      <w:r w:rsidRPr="008E1BF7">
        <w:rPr>
          <w:rFonts w:ascii="仿宋_GB2312" w:eastAsia="仿宋_GB2312" w:hAnsi="仿宋" w:hint="eastAsia"/>
          <w:szCs w:val="32"/>
          <w:highlight w:val="yellow"/>
        </w:rPr>
        <w:t>有限公司在基地有闲置办公楼</w:t>
      </w:r>
      <w:r w:rsidRPr="008E1BF7">
        <w:rPr>
          <w:rFonts w:ascii="仿宋_GB2312" w:eastAsia="仿宋_GB2312" w:hAnsi="仿宋" w:hint="eastAsia"/>
          <w:szCs w:val="32"/>
          <w:highlight w:val="yellow"/>
        </w:rPr>
        <w:t>35000</w:t>
      </w:r>
      <w:r w:rsidRPr="008E1BF7">
        <w:rPr>
          <w:rFonts w:ascii="仿宋_GB2312" w:eastAsia="仿宋_GB2312" w:hAnsi="仿宋" w:hint="eastAsia"/>
          <w:szCs w:val="32"/>
          <w:highlight w:val="yellow"/>
        </w:rPr>
        <w:t>平米，可出租不出售，</w:t>
      </w:r>
      <w:r>
        <w:rPr>
          <w:rFonts w:ascii="仿宋_GB2312" w:eastAsia="仿宋_GB2312" w:hAnsi="仿宋" w:hint="eastAsia"/>
          <w:szCs w:val="32"/>
        </w:rPr>
        <w:t>内部已完成精装修。办公楼共</w:t>
      </w:r>
      <w:r>
        <w:rPr>
          <w:rFonts w:ascii="仿宋_GB2312" w:eastAsia="仿宋_GB2312" w:hAnsi="仿宋" w:hint="eastAsia"/>
          <w:szCs w:val="32"/>
        </w:rPr>
        <w:t>2</w:t>
      </w:r>
      <w:r>
        <w:rPr>
          <w:rFonts w:ascii="仿宋_GB2312" w:eastAsia="仿宋_GB2312" w:hAnsi="仿宋" w:hint="eastAsia"/>
          <w:szCs w:val="32"/>
        </w:rPr>
        <w:t>幢，其中</w:t>
      </w:r>
      <w:r>
        <w:rPr>
          <w:rFonts w:ascii="仿宋_GB2312" w:eastAsia="仿宋_GB2312" w:hAnsi="仿宋" w:hint="eastAsia"/>
          <w:szCs w:val="32"/>
        </w:rPr>
        <w:t>1</w:t>
      </w:r>
      <w:r>
        <w:rPr>
          <w:rFonts w:ascii="仿宋_GB2312" w:eastAsia="仿宋_GB2312" w:hAnsi="仿宋" w:hint="eastAsia"/>
          <w:szCs w:val="32"/>
        </w:rPr>
        <w:t>号楼</w:t>
      </w:r>
      <w:r>
        <w:rPr>
          <w:rFonts w:ascii="仿宋_GB2312" w:eastAsia="仿宋_GB2312" w:hAnsi="仿宋" w:hint="eastAsia"/>
          <w:szCs w:val="32"/>
        </w:rPr>
        <w:t>30000</w:t>
      </w:r>
      <w:r>
        <w:rPr>
          <w:rFonts w:ascii="仿宋_GB2312" w:eastAsia="仿宋_GB2312" w:hAnsi="仿宋" w:hint="eastAsia"/>
          <w:szCs w:val="32"/>
        </w:rPr>
        <w:t>平米，</w:t>
      </w:r>
      <w:r>
        <w:rPr>
          <w:rFonts w:ascii="仿宋_GB2312" w:eastAsia="仿宋_GB2312" w:hAnsi="仿宋" w:hint="eastAsia"/>
          <w:szCs w:val="32"/>
        </w:rPr>
        <w:t>2</w:t>
      </w:r>
      <w:r>
        <w:rPr>
          <w:rFonts w:ascii="仿宋_GB2312" w:eastAsia="仿宋_GB2312" w:hAnsi="仿宋" w:hint="eastAsia"/>
          <w:szCs w:val="32"/>
        </w:rPr>
        <w:t>号楼</w:t>
      </w:r>
      <w:r>
        <w:rPr>
          <w:rFonts w:ascii="仿宋_GB2312" w:eastAsia="仿宋_GB2312" w:hAnsi="仿宋" w:hint="eastAsia"/>
          <w:szCs w:val="32"/>
        </w:rPr>
        <w:t>5000</w:t>
      </w:r>
      <w:r>
        <w:rPr>
          <w:rFonts w:ascii="仿宋_GB2312" w:eastAsia="仿宋_GB2312" w:hAnsi="仿宋" w:hint="eastAsia"/>
          <w:szCs w:val="32"/>
        </w:rPr>
        <w:t>平米。</w:t>
      </w:r>
      <w:r>
        <w:rPr>
          <w:rFonts w:ascii="仿宋_GB2312" w:eastAsia="仿宋_GB2312" w:hAnsi="仿宋" w:hint="eastAsia"/>
          <w:szCs w:val="32"/>
        </w:rPr>
        <w:t xml:space="preserve"> </w:t>
      </w:r>
      <w:r>
        <w:rPr>
          <w:rFonts w:ascii="仿宋_GB2312" w:eastAsia="仿宋_GB2312" w:hAnsi="仿宋" w:hint="eastAsia"/>
          <w:szCs w:val="32"/>
        </w:rPr>
        <w:t>此外，厂内建有配套宿舍楼，精装修，定向为厂内企业有偿提供，共</w:t>
      </w:r>
      <w:r>
        <w:rPr>
          <w:rFonts w:ascii="仿宋_GB2312" w:eastAsia="仿宋_GB2312" w:hAnsi="仿宋" w:hint="eastAsia"/>
          <w:szCs w:val="32"/>
        </w:rPr>
        <w:t>141</w:t>
      </w:r>
      <w:r>
        <w:rPr>
          <w:rFonts w:ascii="仿宋_GB2312" w:eastAsia="仿宋_GB2312" w:hAnsi="仿宋" w:hint="eastAsia"/>
          <w:szCs w:val="32"/>
        </w:rPr>
        <w:t>套。</w:t>
      </w:r>
    </w:p>
    <w:p w:rsidR="0001653F" w:rsidRDefault="002016E5">
      <w:pPr>
        <w:pStyle w:val="a6"/>
        <w:adjustRightInd w:val="0"/>
        <w:snapToGrid w:val="0"/>
        <w:spacing w:line="240" w:lineRule="auto"/>
        <w:ind w:firstLineChars="221" w:firstLine="707"/>
        <w:rPr>
          <w:rFonts w:ascii="仿宋_GB2312" w:eastAsia="仿宋_GB2312" w:hAnsi="仿宋"/>
          <w:szCs w:val="32"/>
        </w:rPr>
      </w:pPr>
      <w:r>
        <w:rPr>
          <w:rFonts w:ascii="仿宋_GB2312" w:eastAsia="仿宋_GB2312" w:hAnsi="仿宋"/>
          <w:noProof/>
          <w:szCs w:val="32"/>
        </w:rPr>
        <w:drawing>
          <wp:inline distT="0" distB="0" distL="0" distR="0">
            <wp:extent cx="5274310" cy="2824765"/>
            <wp:effectExtent l="19050" t="0" r="2540" b="0"/>
            <wp:docPr id="1030"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pic:cNvPicPr/>
                  </pic:nvPicPr>
                  <pic:blipFill rotWithShape="1">
                    <a:blip r:embed="rId12" cstate="print">
                      <a:extLst>
                        <a:ext uri="{28A0092B-C50C-407E-A947-70E740481C1C}">
                          <a14:useLocalDpi xmlns:a14="http://schemas.microsoft.com/office/drawing/2010/main" val="0"/>
                        </a:ext>
                      </a:extLst>
                    </a:blip>
                    <a:srcRect/>
                    <a:stretch>
                      <a:fillRect/>
                    </a:stretch>
                  </pic:blipFill>
                  <pic:spPr>
                    <a:xfrm>
                      <a:off x="0" y="0"/>
                      <a:ext cx="5274310" cy="2824765"/>
                    </a:xfrm>
                    <a:prstGeom prst="rect">
                      <a:avLst/>
                    </a:prstGeom>
                  </pic:spPr>
                </pic:pic>
              </a:graphicData>
            </a:graphic>
          </wp:inline>
        </w:drawing>
      </w:r>
    </w:p>
    <w:p w:rsidR="0001653F" w:rsidRDefault="0001653F">
      <w:pPr>
        <w:adjustRightInd w:val="0"/>
        <w:snapToGrid w:val="0"/>
        <w:spacing w:line="560" w:lineRule="exact"/>
        <w:rPr>
          <w:rFonts w:ascii="仿宋_GB2312" w:eastAsia="仿宋_GB2312" w:hAnsiTheme="majorEastAsia"/>
          <w:sz w:val="32"/>
          <w:szCs w:val="32"/>
        </w:rPr>
      </w:pPr>
    </w:p>
    <w:sectPr w:rsidR="000165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6E5" w:rsidRDefault="002016E5" w:rsidP="008E1BF7">
      <w:r>
        <w:separator/>
      </w:r>
    </w:p>
  </w:endnote>
  <w:endnote w:type="continuationSeparator" w:id="0">
    <w:p w:rsidR="002016E5" w:rsidRDefault="002016E5" w:rsidP="008E1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altName w:val="hakuyoxingshu7000"/>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6E5" w:rsidRDefault="002016E5" w:rsidP="008E1BF7">
      <w:r>
        <w:separator/>
      </w:r>
    </w:p>
  </w:footnote>
  <w:footnote w:type="continuationSeparator" w:id="0">
    <w:p w:rsidR="002016E5" w:rsidRDefault="002016E5" w:rsidP="008E1B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pl w:val="6B5E9414"/>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0000001"/>
    <w:multiLevelType w:val="hybridMultilevel"/>
    <w:tmpl w:val="FCCCA7BC"/>
    <w:lvl w:ilvl="0" w:tplc="52305DA6">
      <w:start w:val="1"/>
      <w:numFmt w:val="bullet"/>
      <w:lvlText w:val=""/>
      <w:lvlJc w:val="left"/>
      <w:pPr>
        <w:tabs>
          <w:tab w:val="left" w:pos="720"/>
        </w:tabs>
        <w:ind w:left="720" w:hanging="360"/>
      </w:pPr>
      <w:rPr>
        <w:rFonts w:ascii="Wingdings" w:hAnsi="Wingdings" w:hint="default"/>
      </w:rPr>
    </w:lvl>
    <w:lvl w:ilvl="1" w:tplc="3DE62E50" w:tentative="1">
      <w:start w:val="1"/>
      <w:numFmt w:val="bullet"/>
      <w:lvlText w:val=""/>
      <w:lvlJc w:val="left"/>
      <w:pPr>
        <w:tabs>
          <w:tab w:val="left" w:pos="1440"/>
        </w:tabs>
        <w:ind w:left="1440" w:hanging="360"/>
      </w:pPr>
      <w:rPr>
        <w:rFonts w:ascii="Wingdings" w:hAnsi="Wingdings" w:hint="default"/>
      </w:rPr>
    </w:lvl>
    <w:lvl w:ilvl="2" w:tplc="0DCEF3FE" w:tentative="1">
      <w:start w:val="1"/>
      <w:numFmt w:val="bullet"/>
      <w:lvlText w:val=""/>
      <w:lvlJc w:val="left"/>
      <w:pPr>
        <w:tabs>
          <w:tab w:val="left" w:pos="2160"/>
        </w:tabs>
        <w:ind w:left="2160" w:hanging="360"/>
      </w:pPr>
      <w:rPr>
        <w:rFonts w:ascii="Wingdings" w:hAnsi="Wingdings" w:hint="default"/>
      </w:rPr>
    </w:lvl>
    <w:lvl w:ilvl="3" w:tplc="F412E15C" w:tentative="1">
      <w:start w:val="1"/>
      <w:numFmt w:val="bullet"/>
      <w:lvlText w:val=""/>
      <w:lvlJc w:val="left"/>
      <w:pPr>
        <w:tabs>
          <w:tab w:val="left" w:pos="2880"/>
        </w:tabs>
        <w:ind w:left="2880" w:hanging="360"/>
      </w:pPr>
      <w:rPr>
        <w:rFonts w:ascii="Wingdings" w:hAnsi="Wingdings" w:hint="default"/>
      </w:rPr>
    </w:lvl>
    <w:lvl w:ilvl="4" w:tplc="42B0C20A" w:tentative="1">
      <w:start w:val="1"/>
      <w:numFmt w:val="bullet"/>
      <w:lvlText w:val=""/>
      <w:lvlJc w:val="left"/>
      <w:pPr>
        <w:tabs>
          <w:tab w:val="left" w:pos="3600"/>
        </w:tabs>
        <w:ind w:left="3600" w:hanging="360"/>
      </w:pPr>
      <w:rPr>
        <w:rFonts w:ascii="Wingdings" w:hAnsi="Wingdings" w:hint="default"/>
      </w:rPr>
    </w:lvl>
    <w:lvl w:ilvl="5" w:tplc="8D6262AE" w:tentative="1">
      <w:start w:val="1"/>
      <w:numFmt w:val="bullet"/>
      <w:lvlText w:val=""/>
      <w:lvlJc w:val="left"/>
      <w:pPr>
        <w:tabs>
          <w:tab w:val="left" w:pos="4320"/>
        </w:tabs>
        <w:ind w:left="4320" w:hanging="360"/>
      </w:pPr>
      <w:rPr>
        <w:rFonts w:ascii="Wingdings" w:hAnsi="Wingdings" w:hint="default"/>
      </w:rPr>
    </w:lvl>
    <w:lvl w:ilvl="6" w:tplc="2C68F4A0" w:tentative="1">
      <w:start w:val="1"/>
      <w:numFmt w:val="bullet"/>
      <w:lvlText w:val=""/>
      <w:lvlJc w:val="left"/>
      <w:pPr>
        <w:tabs>
          <w:tab w:val="left" w:pos="5040"/>
        </w:tabs>
        <w:ind w:left="5040" w:hanging="360"/>
      </w:pPr>
      <w:rPr>
        <w:rFonts w:ascii="Wingdings" w:hAnsi="Wingdings" w:hint="default"/>
      </w:rPr>
    </w:lvl>
    <w:lvl w:ilvl="7" w:tplc="396C5890" w:tentative="1">
      <w:start w:val="1"/>
      <w:numFmt w:val="bullet"/>
      <w:lvlText w:val=""/>
      <w:lvlJc w:val="left"/>
      <w:pPr>
        <w:tabs>
          <w:tab w:val="left" w:pos="5760"/>
        </w:tabs>
        <w:ind w:left="5760" w:hanging="360"/>
      </w:pPr>
      <w:rPr>
        <w:rFonts w:ascii="Wingdings" w:hAnsi="Wingdings" w:hint="default"/>
      </w:rPr>
    </w:lvl>
    <w:lvl w:ilvl="8" w:tplc="23E45A78" w:tentative="1">
      <w:start w:val="1"/>
      <w:numFmt w:val="bullet"/>
      <w:lvlText w:val=""/>
      <w:lvlJc w:val="left"/>
      <w:pPr>
        <w:tabs>
          <w:tab w:val="left" w:pos="6480"/>
        </w:tabs>
        <w:ind w:left="6480" w:hanging="360"/>
      </w:pPr>
      <w:rPr>
        <w:rFonts w:ascii="Wingdings" w:hAnsi="Wingdings" w:hint="default"/>
      </w:rPr>
    </w:lvl>
  </w:abstractNum>
  <w:abstractNum w:abstractNumId="2">
    <w:nsid w:val="00000002"/>
    <w:multiLevelType w:val="hybridMultilevel"/>
    <w:tmpl w:val="3DE01052"/>
    <w:lvl w:ilvl="0" w:tplc="6FD0DA14">
      <w:start w:val="1"/>
      <w:numFmt w:val="bullet"/>
      <w:lvlText w:val=""/>
      <w:lvlJc w:val="left"/>
      <w:pPr>
        <w:tabs>
          <w:tab w:val="left" w:pos="720"/>
        </w:tabs>
        <w:ind w:left="720" w:hanging="360"/>
      </w:pPr>
      <w:rPr>
        <w:rFonts w:ascii="Wingdings" w:hAnsi="Wingdings" w:hint="default"/>
      </w:rPr>
    </w:lvl>
    <w:lvl w:ilvl="1" w:tplc="EC063EDA" w:tentative="1">
      <w:start w:val="1"/>
      <w:numFmt w:val="bullet"/>
      <w:lvlText w:val=""/>
      <w:lvlJc w:val="left"/>
      <w:pPr>
        <w:tabs>
          <w:tab w:val="left" w:pos="1440"/>
        </w:tabs>
        <w:ind w:left="1440" w:hanging="360"/>
      </w:pPr>
      <w:rPr>
        <w:rFonts w:ascii="Wingdings" w:hAnsi="Wingdings" w:hint="default"/>
      </w:rPr>
    </w:lvl>
    <w:lvl w:ilvl="2" w:tplc="B65A3018" w:tentative="1">
      <w:start w:val="1"/>
      <w:numFmt w:val="bullet"/>
      <w:lvlText w:val=""/>
      <w:lvlJc w:val="left"/>
      <w:pPr>
        <w:tabs>
          <w:tab w:val="left" w:pos="2160"/>
        </w:tabs>
        <w:ind w:left="2160" w:hanging="360"/>
      </w:pPr>
      <w:rPr>
        <w:rFonts w:ascii="Wingdings" w:hAnsi="Wingdings" w:hint="default"/>
      </w:rPr>
    </w:lvl>
    <w:lvl w:ilvl="3" w:tplc="6E9257C4" w:tentative="1">
      <w:start w:val="1"/>
      <w:numFmt w:val="bullet"/>
      <w:lvlText w:val=""/>
      <w:lvlJc w:val="left"/>
      <w:pPr>
        <w:tabs>
          <w:tab w:val="left" w:pos="2880"/>
        </w:tabs>
        <w:ind w:left="2880" w:hanging="360"/>
      </w:pPr>
      <w:rPr>
        <w:rFonts w:ascii="Wingdings" w:hAnsi="Wingdings" w:hint="default"/>
      </w:rPr>
    </w:lvl>
    <w:lvl w:ilvl="4" w:tplc="75665E3A" w:tentative="1">
      <w:start w:val="1"/>
      <w:numFmt w:val="bullet"/>
      <w:lvlText w:val=""/>
      <w:lvlJc w:val="left"/>
      <w:pPr>
        <w:tabs>
          <w:tab w:val="left" w:pos="3600"/>
        </w:tabs>
        <w:ind w:left="3600" w:hanging="360"/>
      </w:pPr>
      <w:rPr>
        <w:rFonts w:ascii="Wingdings" w:hAnsi="Wingdings" w:hint="default"/>
      </w:rPr>
    </w:lvl>
    <w:lvl w:ilvl="5" w:tplc="4A16BCEC" w:tentative="1">
      <w:start w:val="1"/>
      <w:numFmt w:val="bullet"/>
      <w:lvlText w:val=""/>
      <w:lvlJc w:val="left"/>
      <w:pPr>
        <w:tabs>
          <w:tab w:val="left" w:pos="4320"/>
        </w:tabs>
        <w:ind w:left="4320" w:hanging="360"/>
      </w:pPr>
      <w:rPr>
        <w:rFonts w:ascii="Wingdings" w:hAnsi="Wingdings" w:hint="default"/>
      </w:rPr>
    </w:lvl>
    <w:lvl w:ilvl="6" w:tplc="1B9A6BA2" w:tentative="1">
      <w:start w:val="1"/>
      <w:numFmt w:val="bullet"/>
      <w:lvlText w:val=""/>
      <w:lvlJc w:val="left"/>
      <w:pPr>
        <w:tabs>
          <w:tab w:val="left" w:pos="5040"/>
        </w:tabs>
        <w:ind w:left="5040" w:hanging="360"/>
      </w:pPr>
      <w:rPr>
        <w:rFonts w:ascii="Wingdings" w:hAnsi="Wingdings" w:hint="default"/>
      </w:rPr>
    </w:lvl>
    <w:lvl w:ilvl="7" w:tplc="C6A644F0" w:tentative="1">
      <w:start w:val="1"/>
      <w:numFmt w:val="bullet"/>
      <w:lvlText w:val=""/>
      <w:lvlJc w:val="left"/>
      <w:pPr>
        <w:tabs>
          <w:tab w:val="left" w:pos="5760"/>
        </w:tabs>
        <w:ind w:left="5760" w:hanging="360"/>
      </w:pPr>
      <w:rPr>
        <w:rFonts w:ascii="Wingdings" w:hAnsi="Wingdings" w:hint="default"/>
      </w:rPr>
    </w:lvl>
    <w:lvl w:ilvl="8" w:tplc="071E863C" w:tentative="1">
      <w:start w:val="1"/>
      <w:numFmt w:val="bullet"/>
      <w:lvlText w:val=""/>
      <w:lvlJc w:val="left"/>
      <w:pPr>
        <w:tabs>
          <w:tab w:val="left" w:pos="6480"/>
        </w:tabs>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653F"/>
    <w:rsid w:val="0001653F"/>
    <w:rsid w:val="002016E5"/>
    <w:rsid w:val="008E1B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character" w:customStyle="1" w:styleId="Char0">
    <w:name w:val="页脚 Char"/>
    <w:basedOn w:val="a0"/>
    <w:link w:val="a4"/>
    <w:uiPriority w:val="99"/>
    <w:rPr>
      <w:sz w:val="18"/>
      <w:szCs w:val="18"/>
    </w:rPr>
  </w:style>
  <w:style w:type="paragraph" w:styleId="a5">
    <w:name w:val="Balloon Text"/>
    <w:basedOn w:val="a"/>
    <w:link w:val="Char1"/>
    <w:uiPriority w:val="99"/>
    <w:rPr>
      <w:sz w:val="18"/>
      <w:szCs w:val="18"/>
    </w:rPr>
  </w:style>
  <w:style w:type="character" w:customStyle="1" w:styleId="Char1">
    <w:name w:val="批注框文本 Char"/>
    <w:basedOn w:val="a0"/>
    <w:link w:val="a5"/>
    <w:uiPriority w:val="99"/>
    <w:rPr>
      <w:sz w:val="18"/>
      <w:szCs w:val="18"/>
    </w:rPr>
  </w:style>
  <w:style w:type="paragraph" w:styleId="a6">
    <w:name w:val="List Paragraph"/>
    <w:basedOn w:val="a"/>
    <w:uiPriority w:val="34"/>
    <w:qFormat/>
    <w:pPr>
      <w:spacing w:line="520" w:lineRule="exact"/>
      <w:ind w:firstLineChars="200" w:firstLine="420"/>
    </w:pPr>
    <w:rPr>
      <w:rFonts w:eastAsia="仿宋"/>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172</Words>
  <Characters>984</Characters>
  <Application>Microsoft Office Word</Application>
  <DocSecurity>0</DocSecurity>
  <Lines>8</Lines>
  <Paragraphs>2</Paragraphs>
  <ScaleCrop>false</ScaleCrop>
  <Company>Sky123.Org</Company>
  <LinksUpToDate>false</LinksUpToDate>
  <CharactersWithSpaces>1154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User</cp:lastModifiedBy>
  <cp:revision>3</cp:revision>
  <dcterms:created xsi:type="dcterms:W3CDTF">2016-05-16T02:51:00Z</dcterms:created>
  <dcterms:modified xsi:type="dcterms:W3CDTF">2016-05-23T02:31:00Z</dcterms:modified>
</cp:coreProperties>
</file>