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b/>
          <w:color w:val="E46C0A" w:themeColor="accent6" w:themeShade="BF"/>
          <w:sz w:val="84"/>
          <w:szCs w:val="84"/>
          <w:u w:val="single"/>
        </w:rPr>
      </w:pPr>
      <w:r>
        <w:rPr>
          <w:rFonts w:hint="eastAsia"/>
          <w:b/>
          <w:color w:val="E46C0A" w:themeColor="accent6" w:themeShade="BF"/>
          <w:sz w:val="84"/>
          <w:szCs w:val="84"/>
          <w:u w:val="single"/>
        </w:rPr>
        <w:drawing>
          <wp:anchor distT="0" distB="0" distL="114300" distR="114300" simplePos="0" relativeHeight="251658240" behindDoc="0" locked="0" layoutInCell="1" allowOverlap="1">
            <wp:simplePos x="0" y="0"/>
            <wp:positionH relativeFrom="column">
              <wp:posOffset>178435</wp:posOffset>
            </wp:positionH>
            <wp:positionV relativeFrom="paragraph">
              <wp:posOffset>116840</wp:posOffset>
            </wp:positionV>
            <wp:extent cx="2734945" cy="798830"/>
            <wp:effectExtent l="19050" t="0" r="8417" b="0"/>
            <wp:wrapNone/>
            <wp:docPr id="2" name="图片 4" descr="QQ图片201405281039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4" descr="QQ图片20140528103949"/>
                    <pic:cNvPicPr>
                      <a:picLocks noChangeAspect="1" noChangeArrowheads="1"/>
                    </pic:cNvPicPr>
                  </pic:nvPicPr>
                  <pic:blipFill>
                    <a:blip r:embed="rId4"/>
                    <a:srcRect/>
                    <a:stretch>
                      <a:fillRect/>
                    </a:stretch>
                  </pic:blipFill>
                  <pic:spPr>
                    <a:xfrm>
                      <a:off x="0" y="0"/>
                      <a:ext cx="2738554" cy="799721"/>
                    </a:xfrm>
                    <a:prstGeom prst="rect">
                      <a:avLst/>
                    </a:prstGeom>
                    <a:noFill/>
                    <a:ln w="9525" cmpd="sng">
                      <a:noFill/>
                      <a:miter lim="800000"/>
                      <a:headEnd/>
                      <a:tailEnd/>
                    </a:ln>
                  </pic:spPr>
                </pic:pic>
              </a:graphicData>
            </a:graphic>
          </wp:anchor>
        </w:drawing>
      </w:r>
    </w:p>
    <w:p>
      <w:pPr>
        <w:jc w:val="center"/>
        <w:rPr>
          <w:b/>
          <w:color w:val="E46C0A" w:themeColor="accent6" w:themeShade="BF"/>
          <w:sz w:val="84"/>
          <w:szCs w:val="84"/>
          <w:u w:val="single"/>
        </w:rPr>
      </w:pPr>
      <w:r>
        <w:rPr>
          <w:rFonts w:hint="eastAsia"/>
          <w:b/>
          <w:color w:val="E46C0A" w:themeColor="accent6" w:themeShade="BF"/>
          <w:sz w:val="84"/>
          <w:szCs w:val="84"/>
          <w:u w:val="single"/>
        </w:rPr>
        <w:t>体检</w:t>
      </w:r>
      <w:r>
        <w:rPr>
          <w:rFonts w:hint="eastAsia"/>
          <w:b/>
          <w:color w:val="E46C0A" w:themeColor="accent6" w:themeShade="BF"/>
          <w:sz w:val="84"/>
          <w:szCs w:val="84"/>
          <w:u w:val="single"/>
          <w:lang w:eastAsia="zh-CN"/>
        </w:rPr>
        <w:t>套餐详细介绍</w:t>
      </w:r>
    </w:p>
    <w:tbl>
      <w:tblPr>
        <w:tblStyle w:val="5"/>
        <w:tblW w:w="10255" w:type="dxa"/>
        <w:tblInd w:w="20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40"/>
        <w:gridCol w:w="2280"/>
        <w:gridCol w:w="600"/>
        <w:gridCol w:w="600"/>
        <w:gridCol w:w="600"/>
        <w:gridCol w:w="49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90" w:hRule="atLeast"/>
        </w:trPr>
        <w:tc>
          <w:tcPr>
            <w:tcW w:w="10255" w:type="dxa"/>
            <w:gridSpan w:val="6"/>
            <w:shd w:val="clear" w:color="auto" w:fill="auto"/>
            <w:vAlign w:val="center"/>
          </w:tcPr>
          <w:p>
            <w:pPr>
              <w:widowControl/>
              <w:jc w:val="center"/>
              <w:rPr>
                <w:rFonts w:ascii="宋体" w:hAnsi="宋体" w:eastAsia="宋体" w:cs="宋体"/>
                <w:b/>
                <w:bCs/>
                <w:color w:val="17375E" w:themeColor="text2" w:themeShade="BF"/>
                <w:kern w:val="0"/>
                <w:sz w:val="72"/>
                <w:szCs w:val="72"/>
              </w:rPr>
            </w:pPr>
            <w:r>
              <w:rPr>
                <w:rFonts w:hint="eastAsia" w:ascii="黑体" w:hAnsi="黑体" w:eastAsia="黑体" w:cs="黑体"/>
                <w:b/>
                <w:bCs/>
                <w:color w:val="C00000"/>
                <w:kern w:val="0"/>
                <w:sz w:val="56"/>
                <w:szCs w:val="56"/>
              </w:rPr>
              <w:t>530精英体检套餐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trPr>
        <w:tc>
          <w:tcPr>
            <w:tcW w:w="3520" w:type="dxa"/>
            <w:gridSpan w:val="2"/>
            <w:vMerge w:val="restart"/>
            <w:shd w:val="clear" w:color="000000" w:fill="C0C0C0"/>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常规科室</w:t>
            </w:r>
          </w:p>
        </w:tc>
        <w:tc>
          <w:tcPr>
            <w:tcW w:w="600" w:type="dxa"/>
            <w:vMerge w:val="restart"/>
            <w:shd w:val="clear" w:color="000000" w:fill="C0C0C0"/>
            <w:vAlign w:val="center"/>
          </w:tcPr>
          <w:p>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男性</w:t>
            </w:r>
          </w:p>
        </w:tc>
        <w:tc>
          <w:tcPr>
            <w:tcW w:w="1200" w:type="dxa"/>
            <w:gridSpan w:val="2"/>
            <w:shd w:val="clear" w:color="000000" w:fill="C0C0C0"/>
            <w:vAlign w:val="center"/>
          </w:tcPr>
          <w:p>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女性</w:t>
            </w:r>
          </w:p>
        </w:tc>
        <w:tc>
          <w:tcPr>
            <w:tcW w:w="4935" w:type="dxa"/>
            <w:vMerge w:val="restart"/>
            <w:shd w:val="clear" w:color="000000" w:fill="C0C0C0"/>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功能意义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trPr>
        <w:tc>
          <w:tcPr>
            <w:tcW w:w="3520" w:type="dxa"/>
            <w:gridSpan w:val="2"/>
            <w:vMerge w:val="continue"/>
            <w:vAlign w:val="center"/>
          </w:tcPr>
          <w:p>
            <w:pPr>
              <w:widowControl/>
              <w:jc w:val="left"/>
              <w:rPr>
                <w:rFonts w:ascii="宋体" w:hAnsi="宋体" w:eastAsia="宋体" w:cs="宋体"/>
                <w:b/>
                <w:bCs/>
                <w:kern w:val="0"/>
                <w:sz w:val="22"/>
              </w:rPr>
            </w:pPr>
          </w:p>
        </w:tc>
        <w:tc>
          <w:tcPr>
            <w:tcW w:w="600" w:type="dxa"/>
            <w:vMerge w:val="continue"/>
            <w:vAlign w:val="center"/>
          </w:tcPr>
          <w:p>
            <w:pPr>
              <w:widowControl/>
              <w:jc w:val="left"/>
              <w:rPr>
                <w:rFonts w:ascii="宋体" w:hAnsi="宋体" w:eastAsia="宋体" w:cs="宋体"/>
                <w:b/>
                <w:bCs/>
                <w:kern w:val="0"/>
                <w:sz w:val="18"/>
                <w:szCs w:val="18"/>
              </w:rPr>
            </w:pPr>
          </w:p>
        </w:tc>
        <w:tc>
          <w:tcPr>
            <w:tcW w:w="600" w:type="dxa"/>
            <w:shd w:val="clear" w:color="000000" w:fill="C0C0C0"/>
            <w:vAlign w:val="center"/>
          </w:tcPr>
          <w:p>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未婚</w:t>
            </w:r>
          </w:p>
        </w:tc>
        <w:tc>
          <w:tcPr>
            <w:tcW w:w="600" w:type="dxa"/>
            <w:shd w:val="clear" w:color="000000" w:fill="C0C0C0"/>
            <w:vAlign w:val="center"/>
          </w:tcPr>
          <w:p>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已婚</w:t>
            </w:r>
          </w:p>
        </w:tc>
        <w:tc>
          <w:tcPr>
            <w:tcW w:w="4935" w:type="dxa"/>
            <w:vMerge w:val="continue"/>
            <w:vAlign w:val="center"/>
          </w:tcPr>
          <w:p>
            <w:pPr>
              <w:widowControl/>
              <w:jc w:val="left"/>
              <w:rPr>
                <w:rFonts w:ascii="宋体" w:hAnsi="宋体" w:eastAsia="宋体" w:cs="宋体"/>
                <w:b/>
                <w:bCs/>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1240" w:type="dxa"/>
            <w:vMerge w:val="restart"/>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一般检查1</w:t>
            </w:r>
          </w:p>
        </w:tc>
        <w:tc>
          <w:tcPr>
            <w:tcW w:w="2280" w:type="dxa"/>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身高</w:t>
            </w:r>
          </w:p>
        </w:tc>
        <w:tc>
          <w:tcPr>
            <w:tcW w:w="600" w:type="dxa"/>
            <w:vMerge w:val="restart"/>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w:t>
            </w:r>
          </w:p>
        </w:tc>
        <w:tc>
          <w:tcPr>
            <w:tcW w:w="600" w:type="dxa"/>
            <w:vMerge w:val="restart"/>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w:t>
            </w:r>
          </w:p>
        </w:tc>
        <w:tc>
          <w:tcPr>
            <w:tcW w:w="600" w:type="dxa"/>
            <w:vMerge w:val="restart"/>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w:t>
            </w:r>
          </w:p>
        </w:tc>
        <w:tc>
          <w:tcPr>
            <w:tcW w:w="4935" w:type="dxa"/>
            <w:vMerge w:val="restart"/>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了解有无血压、脉搏的异常；用身高体重来计算体重指数了解有无超重或肥胖情况。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trPr>
        <w:tc>
          <w:tcPr>
            <w:tcW w:w="1240" w:type="dxa"/>
            <w:vMerge w:val="continue"/>
            <w:vAlign w:val="center"/>
          </w:tcPr>
          <w:p>
            <w:pPr>
              <w:widowControl/>
              <w:jc w:val="left"/>
              <w:rPr>
                <w:rFonts w:ascii="宋体" w:hAnsi="宋体" w:eastAsia="宋体" w:cs="宋体"/>
                <w:kern w:val="0"/>
                <w:sz w:val="20"/>
                <w:szCs w:val="20"/>
              </w:rPr>
            </w:pPr>
          </w:p>
        </w:tc>
        <w:tc>
          <w:tcPr>
            <w:tcW w:w="2280" w:type="dxa"/>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体重</w:t>
            </w:r>
          </w:p>
        </w:tc>
        <w:tc>
          <w:tcPr>
            <w:tcW w:w="600" w:type="dxa"/>
            <w:vMerge w:val="continue"/>
            <w:vAlign w:val="center"/>
          </w:tcPr>
          <w:p>
            <w:pPr>
              <w:widowControl/>
              <w:jc w:val="left"/>
              <w:rPr>
                <w:rFonts w:ascii="宋体" w:hAnsi="宋体" w:eastAsia="宋体" w:cs="宋体"/>
                <w:kern w:val="0"/>
                <w:sz w:val="20"/>
                <w:szCs w:val="20"/>
              </w:rPr>
            </w:pPr>
          </w:p>
        </w:tc>
        <w:tc>
          <w:tcPr>
            <w:tcW w:w="600" w:type="dxa"/>
            <w:vMerge w:val="continue"/>
            <w:vAlign w:val="center"/>
          </w:tcPr>
          <w:p>
            <w:pPr>
              <w:widowControl/>
              <w:jc w:val="left"/>
              <w:rPr>
                <w:rFonts w:ascii="宋体" w:hAnsi="宋体" w:eastAsia="宋体" w:cs="宋体"/>
                <w:kern w:val="0"/>
                <w:sz w:val="20"/>
                <w:szCs w:val="20"/>
              </w:rPr>
            </w:pPr>
          </w:p>
        </w:tc>
        <w:tc>
          <w:tcPr>
            <w:tcW w:w="600" w:type="dxa"/>
            <w:vMerge w:val="continue"/>
            <w:vAlign w:val="center"/>
          </w:tcPr>
          <w:p>
            <w:pPr>
              <w:widowControl/>
              <w:jc w:val="left"/>
              <w:rPr>
                <w:rFonts w:ascii="宋体" w:hAnsi="宋体" w:eastAsia="宋体" w:cs="宋体"/>
                <w:kern w:val="0"/>
                <w:sz w:val="20"/>
                <w:szCs w:val="20"/>
              </w:rPr>
            </w:pPr>
          </w:p>
        </w:tc>
        <w:tc>
          <w:tcPr>
            <w:tcW w:w="4935" w:type="dxa"/>
            <w:vMerge w:val="continue"/>
            <w:vAlign w:val="center"/>
          </w:tcPr>
          <w:p>
            <w:pPr>
              <w:widowControl/>
              <w:jc w:val="left"/>
              <w:rPr>
                <w:rFonts w:ascii="宋体" w:hAnsi="宋体" w:eastAsia="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trPr>
        <w:tc>
          <w:tcPr>
            <w:tcW w:w="1240" w:type="dxa"/>
            <w:vMerge w:val="continue"/>
            <w:vAlign w:val="center"/>
          </w:tcPr>
          <w:p>
            <w:pPr>
              <w:widowControl/>
              <w:jc w:val="left"/>
              <w:rPr>
                <w:rFonts w:ascii="宋体" w:hAnsi="宋体" w:eastAsia="宋体" w:cs="宋体"/>
                <w:kern w:val="0"/>
                <w:sz w:val="20"/>
                <w:szCs w:val="20"/>
              </w:rPr>
            </w:pPr>
          </w:p>
        </w:tc>
        <w:tc>
          <w:tcPr>
            <w:tcW w:w="2280" w:type="dxa"/>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血压</w:t>
            </w:r>
          </w:p>
        </w:tc>
        <w:tc>
          <w:tcPr>
            <w:tcW w:w="600" w:type="dxa"/>
            <w:vMerge w:val="continue"/>
            <w:vAlign w:val="center"/>
          </w:tcPr>
          <w:p>
            <w:pPr>
              <w:widowControl/>
              <w:jc w:val="left"/>
              <w:rPr>
                <w:rFonts w:ascii="宋体" w:hAnsi="宋体" w:eastAsia="宋体" w:cs="宋体"/>
                <w:kern w:val="0"/>
                <w:sz w:val="20"/>
                <w:szCs w:val="20"/>
              </w:rPr>
            </w:pPr>
          </w:p>
        </w:tc>
        <w:tc>
          <w:tcPr>
            <w:tcW w:w="600" w:type="dxa"/>
            <w:vMerge w:val="continue"/>
            <w:vAlign w:val="center"/>
          </w:tcPr>
          <w:p>
            <w:pPr>
              <w:widowControl/>
              <w:jc w:val="left"/>
              <w:rPr>
                <w:rFonts w:ascii="宋体" w:hAnsi="宋体" w:eastAsia="宋体" w:cs="宋体"/>
                <w:kern w:val="0"/>
                <w:sz w:val="20"/>
                <w:szCs w:val="20"/>
              </w:rPr>
            </w:pPr>
          </w:p>
        </w:tc>
        <w:tc>
          <w:tcPr>
            <w:tcW w:w="600" w:type="dxa"/>
            <w:vMerge w:val="continue"/>
            <w:vAlign w:val="center"/>
          </w:tcPr>
          <w:p>
            <w:pPr>
              <w:widowControl/>
              <w:jc w:val="left"/>
              <w:rPr>
                <w:rFonts w:ascii="宋体" w:hAnsi="宋体" w:eastAsia="宋体" w:cs="宋体"/>
                <w:kern w:val="0"/>
                <w:sz w:val="20"/>
                <w:szCs w:val="20"/>
              </w:rPr>
            </w:pPr>
          </w:p>
        </w:tc>
        <w:tc>
          <w:tcPr>
            <w:tcW w:w="4935" w:type="dxa"/>
            <w:vMerge w:val="continue"/>
            <w:vAlign w:val="center"/>
          </w:tcPr>
          <w:p>
            <w:pPr>
              <w:widowControl/>
              <w:jc w:val="left"/>
              <w:rPr>
                <w:rFonts w:ascii="宋体" w:hAnsi="宋体" w:eastAsia="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2" w:hRule="atLeast"/>
        </w:trPr>
        <w:tc>
          <w:tcPr>
            <w:tcW w:w="1240" w:type="dxa"/>
            <w:vMerge w:val="continue"/>
            <w:vAlign w:val="center"/>
          </w:tcPr>
          <w:p>
            <w:pPr>
              <w:widowControl/>
              <w:jc w:val="left"/>
              <w:rPr>
                <w:rFonts w:ascii="宋体" w:hAnsi="宋体" w:eastAsia="宋体" w:cs="宋体"/>
                <w:kern w:val="0"/>
                <w:sz w:val="20"/>
                <w:szCs w:val="20"/>
              </w:rPr>
            </w:pPr>
          </w:p>
        </w:tc>
        <w:tc>
          <w:tcPr>
            <w:tcW w:w="2280" w:type="dxa"/>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脉搏</w:t>
            </w:r>
          </w:p>
        </w:tc>
        <w:tc>
          <w:tcPr>
            <w:tcW w:w="600" w:type="dxa"/>
            <w:vMerge w:val="continue"/>
            <w:vAlign w:val="center"/>
          </w:tcPr>
          <w:p>
            <w:pPr>
              <w:widowControl/>
              <w:jc w:val="left"/>
              <w:rPr>
                <w:rFonts w:ascii="宋体" w:hAnsi="宋体" w:eastAsia="宋体" w:cs="宋体"/>
                <w:kern w:val="0"/>
                <w:sz w:val="20"/>
                <w:szCs w:val="20"/>
              </w:rPr>
            </w:pPr>
          </w:p>
        </w:tc>
        <w:tc>
          <w:tcPr>
            <w:tcW w:w="600" w:type="dxa"/>
            <w:vMerge w:val="continue"/>
            <w:vAlign w:val="center"/>
          </w:tcPr>
          <w:p>
            <w:pPr>
              <w:widowControl/>
              <w:jc w:val="left"/>
              <w:rPr>
                <w:rFonts w:ascii="宋体" w:hAnsi="宋体" w:eastAsia="宋体" w:cs="宋体"/>
                <w:kern w:val="0"/>
                <w:sz w:val="20"/>
                <w:szCs w:val="20"/>
              </w:rPr>
            </w:pPr>
          </w:p>
        </w:tc>
        <w:tc>
          <w:tcPr>
            <w:tcW w:w="600" w:type="dxa"/>
            <w:vMerge w:val="continue"/>
            <w:vAlign w:val="center"/>
          </w:tcPr>
          <w:p>
            <w:pPr>
              <w:widowControl/>
              <w:jc w:val="left"/>
              <w:rPr>
                <w:rFonts w:ascii="宋体" w:hAnsi="宋体" w:eastAsia="宋体" w:cs="宋体"/>
                <w:kern w:val="0"/>
                <w:sz w:val="20"/>
                <w:szCs w:val="20"/>
              </w:rPr>
            </w:pPr>
          </w:p>
        </w:tc>
        <w:tc>
          <w:tcPr>
            <w:tcW w:w="4935" w:type="dxa"/>
            <w:vMerge w:val="continue"/>
            <w:vAlign w:val="center"/>
          </w:tcPr>
          <w:p>
            <w:pPr>
              <w:widowControl/>
              <w:jc w:val="left"/>
              <w:rPr>
                <w:rFonts w:ascii="宋体" w:hAnsi="宋体" w:eastAsia="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9" w:hRule="atLeast"/>
        </w:trPr>
        <w:tc>
          <w:tcPr>
            <w:tcW w:w="1240" w:type="dxa"/>
            <w:vMerge w:val="continue"/>
            <w:vAlign w:val="center"/>
          </w:tcPr>
          <w:p>
            <w:pPr>
              <w:widowControl/>
              <w:jc w:val="left"/>
              <w:rPr>
                <w:rFonts w:ascii="宋体" w:hAnsi="宋体" w:eastAsia="宋体" w:cs="宋体"/>
                <w:kern w:val="0"/>
                <w:sz w:val="20"/>
                <w:szCs w:val="20"/>
              </w:rPr>
            </w:pPr>
          </w:p>
        </w:tc>
        <w:tc>
          <w:tcPr>
            <w:tcW w:w="2280" w:type="dxa"/>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体重指数</w:t>
            </w:r>
          </w:p>
        </w:tc>
        <w:tc>
          <w:tcPr>
            <w:tcW w:w="600" w:type="dxa"/>
            <w:vMerge w:val="continue"/>
            <w:vAlign w:val="center"/>
          </w:tcPr>
          <w:p>
            <w:pPr>
              <w:widowControl/>
              <w:jc w:val="left"/>
              <w:rPr>
                <w:rFonts w:ascii="宋体" w:hAnsi="宋体" w:eastAsia="宋体" w:cs="宋体"/>
                <w:kern w:val="0"/>
                <w:sz w:val="20"/>
                <w:szCs w:val="20"/>
              </w:rPr>
            </w:pPr>
          </w:p>
        </w:tc>
        <w:tc>
          <w:tcPr>
            <w:tcW w:w="600" w:type="dxa"/>
            <w:vMerge w:val="continue"/>
            <w:vAlign w:val="center"/>
          </w:tcPr>
          <w:p>
            <w:pPr>
              <w:widowControl/>
              <w:jc w:val="left"/>
              <w:rPr>
                <w:rFonts w:ascii="宋体" w:hAnsi="宋体" w:eastAsia="宋体" w:cs="宋体"/>
                <w:kern w:val="0"/>
                <w:sz w:val="20"/>
                <w:szCs w:val="20"/>
              </w:rPr>
            </w:pPr>
          </w:p>
        </w:tc>
        <w:tc>
          <w:tcPr>
            <w:tcW w:w="600" w:type="dxa"/>
            <w:vMerge w:val="continue"/>
            <w:vAlign w:val="center"/>
          </w:tcPr>
          <w:p>
            <w:pPr>
              <w:widowControl/>
              <w:jc w:val="left"/>
              <w:rPr>
                <w:rFonts w:ascii="宋体" w:hAnsi="宋体" w:eastAsia="宋体" w:cs="宋体"/>
                <w:kern w:val="0"/>
                <w:sz w:val="20"/>
                <w:szCs w:val="20"/>
              </w:rPr>
            </w:pPr>
          </w:p>
        </w:tc>
        <w:tc>
          <w:tcPr>
            <w:tcW w:w="4935" w:type="dxa"/>
            <w:vMerge w:val="continue"/>
            <w:vAlign w:val="center"/>
          </w:tcPr>
          <w:p>
            <w:pPr>
              <w:widowControl/>
              <w:jc w:val="left"/>
              <w:rPr>
                <w:rFonts w:ascii="宋体" w:hAnsi="宋体" w:eastAsia="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00" w:hRule="atLeast"/>
        </w:trPr>
        <w:tc>
          <w:tcPr>
            <w:tcW w:w="1240" w:type="dxa"/>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内科        &lt;一般检查1或2必选&gt;</w:t>
            </w:r>
          </w:p>
        </w:tc>
        <w:tc>
          <w:tcPr>
            <w:tcW w:w="2280" w:type="dxa"/>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常规检查</w:t>
            </w:r>
          </w:p>
        </w:tc>
        <w:tc>
          <w:tcPr>
            <w:tcW w:w="600" w:type="dxa"/>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w:t>
            </w:r>
          </w:p>
        </w:tc>
        <w:tc>
          <w:tcPr>
            <w:tcW w:w="600" w:type="dxa"/>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w:t>
            </w:r>
          </w:p>
        </w:tc>
        <w:tc>
          <w:tcPr>
            <w:tcW w:w="600" w:type="dxa"/>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w:t>
            </w:r>
          </w:p>
        </w:tc>
        <w:tc>
          <w:tcPr>
            <w:tcW w:w="4935" w:type="dxa"/>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通过听诊、触摸、叩诊等方法，检查心、肝、脾、肺、双肾等脏器的基本情况，如心脏大小是否正常、有无杂音、节律是否整齐，肝脾大小是否正常，肺部有无罗音、双肾有无压痛、扣击痛及生理病理反射情况，为健康评估提供依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0" w:hRule="atLeast"/>
        </w:trPr>
        <w:tc>
          <w:tcPr>
            <w:tcW w:w="1240" w:type="dxa"/>
            <w:vMerge w:val="restart"/>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外科</w:t>
            </w:r>
          </w:p>
        </w:tc>
        <w:tc>
          <w:tcPr>
            <w:tcW w:w="2280" w:type="dxa"/>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常规检查</w:t>
            </w:r>
          </w:p>
        </w:tc>
        <w:tc>
          <w:tcPr>
            <w:tcW w:w="600" w:type="dxa"/>
            <w:vMerge w:val="restart"/>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w:t>
            </w:r>
          </w:p>
        </w:tc>
        <w:tc>
          <w:tcPr>
            <w:tcW w:w="600" w:type="dxa"/>
            <w:vMerge w:val="restart"/>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w:t>
            </w:r>
          </w:p>
        </w:tc>
        <w:tc>
          <w:tcPr>
            <w:tcW w:w="600" w:type="dxa"/>
            <w:vMerge w:val="restart"/>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w:t>
            </w:r>
          </w:p>
        </w:tc>
        <w:tc>
          <w:tcPr>
            <w:tcW w:w="4935" w:type="dxa"/>
            <w:vMerge w:val="restart"/>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通过触诊了解有无体表肿物，如疝气、淋巴结肿大、甲状腺肿大、乳腺增生；以及外科浅表皮肤感染、静脉曲张等外科系统基本情况，肛诊可以了解直肠情况，为健康评估提供信息。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0" w:hRule="atLeast"/>
        </w:trPr>
        <w:tc>
          <w:tcPr>
            <w:tcW w:w="1240" w:type="dxa"/>
            <w:vMerge w:val="continue"/>
            <w:vAlign w:val="center"/>
          </w:tcPr>
          <w:p>
            <w:pPr>
              <w:widowControl/>
              <w:jc w:val="left"/>
              <w:rPr>
                <w:rFonts w:ascii="宋体" w:hAnsi="宋体" w:eastAsia="宋体" w:cs="宋体"/>
                <w:kern w:val="0"/>
                <w:sz w:val="20"/>
                <w:szCs w:val="20"/>
              </w:rPr>
            </w:pPr>
          </w:p>
        </w:tc>
        <w:tc>
          <w:tcPr>
            <w:tcW w:w="2280" w:type="dxa"/>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肛诊</w:t>
            </w:r>
          </w:p>
        </w:tc>
        <w:tc>
          <w:tcPr>
            <w:tcW w:w="600" w:type="dxa"/>
            <w:vMerge w:val="continue"/>
            <w:vAlign w:val="center"/>
          </w:tcPr>
          <w:p>
            <w:pPr>
              <w:widowControl/>
              <w:jc w:val="left"/>
              <w:rPr>
                <w:rFonts w:ascii="宋体" w:hAnsi="宋体" w:eastAsia="宋体" w:cs="宋体"/>
                <w:kern w:val="0"/>
                <w:sz w:val="20"/>
                <w:szCs w:val="20"/>
              </w:rPr>
            </w:pPr>
          </w:p>
        </w:tc>
        <w:tc>
          <w:tcPr>
            <w:tcW w:w="600" w:type="dxa"/>
            <w:vMerge w:val="continue"/>
            <w:vAlign w:val="center"/>
          </w:tcPr>
          <w:p>
            <w:pPr>
              <w:widowControl/>
              <w:jc w:val="left"/>
              <w:rPr>
                <w:rFonts w:ascii="宋体" w:hAnsi="宋体" w:eastAsia="宋体" w:cs="宋体"/>
                <w:kern w:val="0"/>
                <w:sz w:val="20"/>
                <w:szCs w:val="20"/>
              </w:rPr>
            </w:pPr>
          </w:p>
        </w:tc>
        <w:tc>
          <w:tcPr>
            <w:tcW w:w="600" w:type="dxa"/>
            <w:vMerge w:val="continue"/>
            <w:vAlign w:val="center"/>
          </w:tcPr>
          <w:p>
            <w:pPr>
              <w:widowControl/>
              <w:jc w:val="left"/>
              <w:rPr>
                <w:rFonts w:ascii="宋体" w:hAnsi="宋体" w:eastAsia="宋体" w:cs="宋体"/>
                <w:kern w:val="0"/>
                <w:sz w:val="20"/>
                <w:szCs w:val="20"/>
              </w:rPr>
            </w:pPr>
          </w:p>
        </w:tc>
        <w:tc>
          <w:tcPr>
            <w:tcW w:w="4935" w:type="dxa"/>
            <w:vMerge w:val="continue"/>
            <w:vAlign w:val="center"/>
          </w:tcPr>
          <w:p>
            <w:pPr>
              <w:widowControl/>
              <w:jc w:val="left"/>
              <w:rPr>
                <w:rFonts w:ascii="宋体" w:hAnsi="宋体" w:eastAsia="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0" w:hRule="atLeast"/>
        </w:trPr>
        <w:tc>
          <w:tcPr>
            <w:tcW w:w="1240" w:type="dxa"/>
            <w:vMerge w:val="restart"/>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眼科</w:t>
            </w:r>
          </w:p>
        </w:tc>
        <w:tc>
          <w:tcPr>
            <w:tcW w:w="2280" w:type="dxa"/>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视力、色觉</w:t>
            </w:r>
          </w:p>
        </w:tc>
        <w:tc>
          <w:tcPr>
            <w:tcW w:w="600" w:type="dxa"/>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w:t>
            </w:r>
          </w:p>
        </w:tc>
        <w:tc>
          <w:tcPr>
            <w:tcW w:w="600" w:type="dxa"/>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w:t>
            </w:r>
          </w:p>
        </w:tc>
        <w:tc>
          <w:tcPr>
            <w:tcW w:w="600" w:type="dxa"/>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w:t>
            </w:r>
          </w:p>
        </w:tc>
        <w:tc>
          <w:tcPr>
            <w:tcW w:w="4935" w:type="dxa"/>
            <w:vMerge w:val="restart"/>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检查有无近视、远视、散光等屈光不正的现象，检查眼底视网膜病变、老年型黄斑变性、视乳头病变,眼底动脉改变，为诊断颅脑疾病、内分泌疾病、动脉硬化等提供信息，为早期治疗争取时间。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0" w:hRule="atLeast"/>
        </w:trPr>
        <w:tc>
          <w:tcPr>
            <w:tcW w:w="1240" w:type="dxa"/>
            <w:vMerge w:val="continue"/>
            <w:vAlign w:val="center"/>
          </w:tcPr>
          <w:p>
            <w:pPr>
              <w:widowControl/>
              <w:jc w:val="left"/>
              <w:rPr>
                <w:rFonts w:ascii="宋体" w:hAnsi="宋体" w:eastAsia="宋体" w:cs="宋体"/>
                <w:kern w:val="0"/>
                <w:sz w:val="20"/>
                <w:szCs w:val="20"/>
              </w:rPr>
            </w:pPr>
          </w:p>
        </w:tc>
        <w:tc>
          <w:tcPr>
            <w:tcW w:w="2280" w:type="dxa"/>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外眼、裂隙灯</w:t>
            </w:r>
          </w:p>
        </w:tc>
        <w:tc>
          <w:tcPr>
            <w:tcW w:w="600" w:type="dxa"/>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w:t>
            </w:r>
          </w:p>
        </w:tc>
        <w:tc>
          <w:tcPr>
            <w:tcW w:w="600" w:type="dxa"/>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w:t>
            </w:r>
          </w:p>
        </w:tc>
        <w:tc>
          <w:tcPr>
            <w:tcW w:w="600" w:type="dxa"/>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w:t>
            </w:r>
          </w:p>
        </w:tc>
        <w:tc>
          <w:tcPr>
            <w:tcW w:w="4935" w:type="dxa"/>
            <w:vMerge w:val="continue"/>
            <w:vAlign w:val="center"/>
          </w:tcPr>
          <w:p>
            <w:pPr>
              <w:widowControl/>
              <w:jc w:val="left"/>
              <w:rPr>
                <w:rFonts w:ascii="宋体" w:hAnsi="宋体" w:eastAsia="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0" w:hRule="atLeast"/>
        </w:trPr>
        <w:tc>
          <w:tcPr>
            <w:tcW w:w="1240" w:type="dxa"/>
            <w:vMerge w:val="continue"/>
            <w:vAlign w:val="center"/>
          </w:tcPr>
          <w:p>
            <w:pPr>
              <w:widowControl/>
              <w:jc w:val="left"/>
              <w:rPr>
                <w:rFonts w:ascii="宋体" w:hAnsi="宋体" w:eastAsia="宋体" w:cs="宋体"/>
                <w:kern w:val="0"/>
                <w:sz w:val="20"/>
                <w:szCs w:val="20"/>
              </w:rPr>
            </w:pPr>
          </w:p>
        </w:tc>
        <w:tc>
          <w:tcPr>
            <w:tcW w:w="2280" w:type="dxa"/>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眼底</w:t>
            </w:r>
          </w:p>
        </w:tc>
        <w:tc>
          <w:tcPr>
            <w:tcW w:w="600" w:type="dxa"/>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w:t>
            </w:r>
          </w:p>
        </w:tc>
        <w:tc>
          <w:tcPr>
            <w:tcW w:w="600" w:type="dxa"/>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w:t>
            </w:r>
          </w:p>
        </w:tc>
        <w:tc>
          <w:tcPr>
            <w:tcW w:w="600" w:type="dxa"/>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w:t>
            </w:r>
          </w:p>
        </w:tc>
        <w:tc>
          <w:tcPr>
            <w:tcW w:w="4935" w:type="dxa"/>
            <w:vMerge w:val="continue"/>
            <w:vAlign w:val="center"/>
          </w:tcPr>
          <w:p>
            <w:pPr>
              <w:widowControl/>
              <w:jc w:val="left"/>
              <w:rPr>
                <w:rFonts w:ascii="宋体" w:hAnsi="宋体" w:eastAsia="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0" w:hRule="atLeast"/>
        </w:trPr>
        <w:tc>
          <w:tcPr>
            <w:tcW w:w="1240" w:type="dxa"/>
            <w:vMerge w:val="restart"/>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耳鼻喉科</w:t>
            </w:r>
          </w:p>
        </w:tc>
        <w:tc>
          <w:tcPr>
            <w:tcW w:w="2280" w:type="dxa"/>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常规检查</w:t>
            </w:r>
          </w:p>
        </w:tc>
        <w:tc>
          <w:tcPr>
            <w:tcW w:w="600" w:type="dxa"/>
            <w:vMerge w:val="restart"/>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w:t>
            </w:r>
          </w:p>
        </w:tc>
        <w:tc>
          <w:tcPr>
            <w:tcW w:w="600" w:type="dxa"/>
            <w:vMerge w:val="restart"/>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w:t>
            </w:r>
          </w:p>
        </w:tc>
        <w:tc>
          <w:tcPr>
            <w:tcW w:w="600" w:type="dxa"/>
            <w:vMerge w:val="restart"/>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w:t>
            </w:r>
          </w:p>
        </w:tc>
        <w:tc>
          <w:tcPr>
            <w:tcW w:w="4935" w:type="dxa"/>
            <w:vMerge w:val="restart"/>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借助诊疗器械检查耳、鼻、鼻咽、口咽等部位，筛检中耳炎、耳聋、面瘫、鼻炎、鼻窦炎、扁桃体炎等疾病。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2" w:hRule="atLeast"/>
        </w:trPr>
        <w:tc>
          <w:tcPr>
            <w:tcW w:w="1240" w:type="dxa"/>
            <w:vMerge w:val="continue"/>
            <w:vAlign w:val="center"/>
          </w:tcPr>
          <w:p>
            <w:pPr>
              <w:widowControl/>
              <w:jc w:val="left"/>
              <w:rPr>
                <w:rFonts w:ascii="宋体" w:hAnsi="宋体" w:eastAsia="宋体" w:cs="宋体"/>
                <w:kern w:val="0"/>
                <w:sz w:val="20"/>
                <w:szCs w:val="20"/>
              </w:rPr>
            </w:pPr>
          </w:p>
        </w:tc>
        <w:tc>
          <w:tcPr>
            <w:tcW w:w="2280" w:type="dxa"/>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听力</w:t>
            </w:r>
          </w:p>
        </w:tc>
        <w:tc>
          <w:tcPr>
            <w:tcW w:w="600" w:type="dxa"/>
            <w:vMerge w:val="continue"/>
            <w:vAlign w:val="center"/>
          </w:tcPr>
          <w:p>
            <w:pPr>
              <w:widowControl/>
              <w:jc w:val="left"/>
              <w:rPr>
                <w:rFonts w:ascii="宋体" w:hAnsi="宋体" w:eastAsia="宋体" w:cs="宋体"/>
                <w:kern w:val="0"/>
                <w:sz w:val="20"/>
                <w:szCs w:val="20"/>
              </w:rPr>
            </w:pPr>
          </w:p>
        </w:tc>
        <w:tc>
          <w:tcPr>
            <w:tcW w:w="600" w:type="dxa"/>
            <w:vMerge w:val="continue"/>
            <w:vAlign w:val="center"/>
          </w:tcPr>
          <w:p>
            <w:pPr>
              <w:widowControl/>
              <w:jc w:val="left"/>
              <w:rPr>
                <w:rFonts w:ascii="宋体" w:hAnsi="宋体" w:eastAsia="宋体" w:cs="宋体"/>
                <w:kern w:val="0"/>
                <w:sz w:val="20"/>
                <w:szCs w:val="20"/>
              </w:rPr>
            </w:pPr>
          </w:p>
        </w:tc>
        <w:tc>
          <w:tcPr>
            <w:tcW w:w="600" w:type="dxa"/>
            <w:vMerge w:val="continue"/>
            <w:vAlign w:val="center"/>
          </w:tcPr>
          <w:p>
            <w:pPr>
              <w:widowControl/>
              <w:jc w:val="left"/>
              <w:rPr>
                <w:rFonts w:ascii="宋体" w:hAnsi="宋体" w:eastAsia="宋体" w:cs="宋体"/>
                <w:kern w:val="0"/>
                <w:sz w:val="20"/>
                <w:szCs w:val="20"/>
              </w:rPr>
            </w:pPr>
          </w:p>
        </w:tc>
        <w:tc>
          <w:tcPr>
            <w:tcW w:w="4935" w:type="dxa"/>
            <w:vMerge w:val="continue"/>
            <w:vAlign w:val="center"/>
          </w:tcPr>
          <w:p>
            <w:pPr>
              <w:widowControl/>
              <w:jc w:val="left"/>
              <w:rPr>
                <w:rFonts w:ascii="宋体" w:hAnsi="宋体" w:eastAsia="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9" w:hRule="atLeast"/>
        </w:trPr>
        <w:tc>
          <w:tcPr>
            <w:tcW w:w="1240" w:type="dxa"/>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口腔科</w:t>
            </w:r>
          </w:p>
        </w:tc>
        <w:tc>
          <w:tcPr>
            <w:tcW w:w="2280" w:type="dxa"/>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常规检查</w:t>
            </w:r>
          </w:p>
        </w:tc>
        <w:tc>
          <w:tcPr>
            <w:tcW w:w="600" w:type="dxa"/>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w:t>
            </w:r>
          </w:p>
        </w:tc>
        <w:tc>
          <w:tcPr>
            <w:tcW w:w="600" w:type="dxa"/>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w:t>
            </w:r>
          </w:p>
        </w:tc>
        <w:tc>
          <w:tcPr>
            <w:tcW w:w="600" w:type="dxa"/>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w:t>
            </w:r>
          </w:p>
        </w:tc>
        <w:tc>
          <w:tcPr>
            <w:tcW w:w="4935" w:type="dxa"/>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 xml:space="preserve">可检查牙龈、牙齿的形态、色彩和牙龈的质地、牙齿的稳定性、咬合关系等，了解口腔健康状况，对口腔相关疾病早期发现、早期诊断和早期治疗有重要意义。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60" w:hRule="atLeast"/>
        </w:trPr>
        <w:tc>
          <w:tcPr>
            <w:tcW w:w="1240" w:type="dxa"/>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心电图</w:t>
            </w:r>
          </w:p>
        </w:tc>
        <w:tc>
          <w:tcPr>
            <w:tcW w:w="2280" w:type="dxa"/>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静态心电图</w:t>
            </w:r>
          </w:p>
        </w:tc>
        <w:tc>
          <w:tcPr>
            <w:tcW w:w="600" w:type="dxa"/>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w:t>
            </w:r>
          </w:p>
        </w:tc>
        <w:tc>
          <w:tcPr>
            <w:tcW w:w="600" w:type="dxa"/>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w:t>
            </w:r>
          </w:p>
        </w:tc>
        <w:tc>
          <w:tcPr>
            <w:tcW w:w="600" w:type="dxa"/>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w:t>
            </w:r>
          </w:p>
        </w:tc>
        <w:tc>
          <w:tcPr>
            <w:tcW w:w="4935" w:type="dxa"/>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 xml:space="preserve">通过仪器检测心肌电生理变化、分析图形，为诊断心肌埂塞、心律失常、心肌炎、心绞痛、束支传导阻滞、房室肥大、预激综合症、心包炎等各种心脏疾病提供准确的信息。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0" w:hRule="atLeast"/>
        </w:trPr>
        <w:tc>
          <w:tcPr>
            <w:tcW w:w="3520" w:type="dxa"/>
            <w:gridSpan w:val="2"/>
            <w:shd w:val="clear" w:color="000000" w:fill="C0C0C0"/>
            <w:vAlign w:val="center"/>
          </w:tcPr>
          <w:p>
            <w:pPr>
              <w:widowControl/>
              <w:jc w:val="left"/>
              <w:rPr>
                <w:rFonts w:ascii="宋体" w:hAnsi="宋体" w:eastAsia="宋体" w:cs="宋体"/>
                <w:b/>
                <w:bCs/>
                <w:kern w:val="0"/>
                <w:sz w:val="22"/>
              </w:rPr>
            </w:pPr>
            <w:r>
              <w:rPr>
                <w:rFonts w:hint="eastAsia" w:ascii="宋体" w:hAnsi="宋体" w:eastAsia="宋体" w:cs="宋体"/>
                <w:b/>
                <w:bCs/>
                <w:kern w:val="0"/>
                <w:sz w:val="22"/>
              </w:rPr>
              <w:t>女性体检项目</w:t>
            </w:r>
          </w:p>
        </w:tc>
        <w:tc>
          <w:tcPr>
            <w:tcW w:w="600" w:type="dxa"/>
            <w:shd w:val="clear" w:color="000000" w:fill="C0C0C0"/>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600" w:type="dxa"/>
            <w:shd w:val="clear" w:color="000000" w:fill="C0C0C0"/>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600" w:type="dxa"/>
            <w:shd w:val="clear" w:color="000000" w:fill="C0C0C0"/>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4935" w:type="dxa"/>
            <w:shd w:val="clear" w:color="000000" w:fill="C0C0C0"/>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00" w:hRule="atLeast"/>
        </w:trPr>
        <w:tc>
          <w:tcPr>
            <w:tcW w:w="1240" w:type="dxa"/>
            <w:vMerge w:val="restart"/>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妇科检查</w:t>
            </w:r>
          </w:p>
        </w:tc>
        <w:tc>
          <w:tcPr>
            <w:tcW w:w="2280" w:type="dxa"/>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常规检查&lt;必选&gt;</w:t>
            </w:r>
          </w:p>
        </w:tc>
        <w:tc>
          <w:tcPr>
            <w:tcW w:w="600" w:type="dxa"/>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　</w:t>
            </w:r>
          </w:p>
        </w:tc>
        <w:tc>
          <w:tcPr>
            <w:tcW w:w="600" w:type="dxa"/>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　</w:t>
            </w:r>
          </w:p>
        </w:tc>
        <w:tc>
          <w:tcPr>
            <w:tcW w:w="600" w:type="dxa"/>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w:t>
            </w:r>
          </w:p>
        </w:tc>
        <w:tc>
          <w:tcPr>
            <w:tcW w:w="4935" w:type="dxa"/>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首先查看外阴有无皮肤病、水肿、白斑等；其次用器械检查阴道及宫颈：阴道有无出血、溃疡；有无宫颈炎症、宫颈糜烂等；第三是触摸检查子宫大小、形态、位置以及活动度是否正常；第四是检查双侧附件有无肿块及压痛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20" w:hRule="atLeast"/>
        </w:trPr>
        <w:tc>
          <w:tcPr>
            <w:tcW w:w="1240" w:type="dxa"/>
            <w:vMerge w:val="continue"/>
            <w:vAlign w:val="center"/>
          </w:tcPr>
          <w:p>
            <w:pPr>
              <w:widowControl/>
              <w:jc w:val="left"/>
              <w:rPr>
                <w:rFonts w:ascii="宋体" w:hAnsi="宋体" w:eastAsia="宋体" w:cs="宋体"/>
                <w:kern w:val="0"/>
                <w:sz w:val="20"/>
                <w:szCs w:val="20"/>
              </w:rPr>
            </w:pPr>
          </w:p>
        </w:tc>
        <w:tc>
          <w:tcPr>
            <w:tcW w:w="2280" w:type="dxa"/>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白带常规</w:t>
            </w:r>
          </w:p>
        </w:tc>
        <w:tc>
          <w:tcPr>
            <w:tcW w:w="600" w:type="dxa"/>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　</w:t>
            </w:r>
          </w:p>
        </w:tc>
        <w:tc>
          <w:tcPr>
            <w:tcW w:w="600" w:type="dxa"/>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　</w:t>
            </w:r>
          </w:p>
        </w:tc>
        <w:tc>
          <w:tcPr>
            <w:tcW w:w="600" w:type="dxa"/>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w:t>
            </w:r>
          </w:p>
        </w:tc>
        <w:tc>
          <w:tcPr>
            <w:tcW w:w="4935" w:type="dxa"/>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白带检查对于确定阴道清洁度，检查诊断妇科炎症等如：霉菌性阴道炎、滴虫性阴道炎及性病等均具有重要的意义。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0" w:hRule="atLeast"/>
        </w:trPr>
        <w:tc>
          <w:tcPr>
            <w:tcW w:w="1240" w:type="dxa"/>
            <w:vMerge w:val="continue"/>
            <w:vAlign w:val="center"/>
          </w:tcPr>
          <w:p>
            <w:pPr>
              <w:widowControl/>
              <w:jc w:val="left"/>
              <w:rPr>
                <w:rFonts w:ascii="宋体" w:hAnsi="宋体" w:eastAsia="宋体" w:cs="宋体"/>
                <w:kern w:val="0"/>
                <w:sz w:val="20"/>
                <w:szCs w:val="20"/>
              </w:rPr>
            </w:pPr>
          </w:p>
        </w:tc>
        <w:tc>
          <w:tcPr>
            <w:tcW w:w="2280" w:type="dxa"/>
            <w:shd w:val="clear" w:color="auto" w:fill="auto"/>
            <w:vAlign w:val="center"/>
          </w:tcPr>
          <w:p>
            <w:pPr>
              <w:widowControl/>
              <w:jc w:val="left"/>
              <w:rPr>
                <w:rFonts w:ascii="宋体" w:hAnsi="宋体" w:eastAsia="宋体" w:cs="宋体"/>
                <w:color w:val="FF0000"/>
                <w:kern w:val="0"/>
                <w:sz w:val="20"/>
                <w:szCs w:val="20"/>
              </w:rPr>
            </w:pPr>
            <w:r>
              <w:rPr>
                <w:rFonts w:hint="eastAsia" w:ascii="宋体" w:hAnsi="宋体" w:eastAsia="宋体" w:cs="宋体"/>
                <w:color w:val="FF0000"/>
                <w:kern w:val="0"/>
                <w:sz w:val="20"/>
                <w:szCs w:val="20"/>
              </w:rPr>
              <w:t>宫颈刮片</w:t>
            </w:r>
          </w:p>
        </w:tc>
        <w:tc>
          <w:tcPr>
            <w:tcW w:w="600" w:type="dxa"/>
            <w:shd w:val="clear" w:color="auto" w:fill="auto"/>
            <w:vAlign w:val="center"/>
          </w:tcPr>
          <w:p>
            <w:pPr>
              <w:widowControl/>
              <w:jc w:val="center"/>
              <w:rPr>
                <w:rFonts w:ascii="宋体" w:hAnsi="宋体" w:eastAsia="宋体" w:cs="宋体"/>
                <w:color w:val="FF0000"/>
                <w:kern w:val="0"/>
                <w:sz w:val="20"/>
                <w:szCs w:val="20"/>
              </w:rPr>
            </w:pPr>
            <w:r>
              <w:rPr>
                <w:rFonts w:hint="eastAsia" w:ascii="宋体" w:hAnsi="宋体" w:eastAsia="宋体" w:cs="宋体"/>
                <w:color w:val="FF0000"/>
                <w:kern w:val="0"/>
                <w:sz w:val="20"/>
                <w:szCs w:val="20"/>
              </w:rPr>
              <w:t>　</w:t>
            </w:r>
          </w:p>
        </w:tc>
        <w:tc>
          <w:tcPr>
            <w:tcW w:w="600" w:type="dxa"/>
            <w:shd w:val="clear" w:color="auto" w:fill="auto"/>
            <w:vAlign w:val="center"/>
          </w:tcPr>
          <w:p>
            <w:pPr>
              <w:widowControl/>
              <w:jc w:val="center"/>
              <w:rPr>
                <w:rFonts w:ascii="宋体" w:hAnsi="宋体" w:eastAsia="宋体" w:cs="宋体"/>
                <w:color w:val="FF0000"/>
                <w:kern w:val="0"/>
                <w:sz w:val="20"/>
                <w:szCs w:val="20"/>
              </w:rPr>
            </w:pPr>
            <w:r>
              <w:rPr>
                <w:rFonts w:hint="eastAsia" w:ascii="宋体" w:hAnsi="宋体" w:eastAsia="宋体" w:cs="宋体"/>
                <w:color w:val="FF0000"/>
                <w:kern w:val="0"/>
                <w:sz w:val="20"/>
                <w:szCs w:val="20"/>
              </w:rPr>
              <w:t>　</w:t>
            </w:r>
          </w:p>
        </w:tc>
        <w:tc>
          <w:tcPr>
            <w:tcW w:w="600" w:type="dxa"/>
            <w:shd w:val="clear" w:color="auto" w:fill="auto"/>
            <w:vAlign w:val="center"/>
          </w:tcPr>
          <w:p>
            <w:pPr>
              <w:widowControl/>
              <w:jc w:val="center"/>
              <w:rPr>
                <w:rFonts w:ascii="宋体" w:hAnsi="宋体" w:eastAsia="宋体" w:cs="宋体"/>
                <w:color w:val="FF0000"/>
                <w:kern w:val="0"/>
                <w:sz w:val="20"/>
                <w:szCs w:val="20"/>
              </w:rPr>
            </w:pPr>
            <w:r>
              <w:rPr>
                <w:rFonts w:hint="eastAsia" w:ascii="宋体" w:hAnsi="宋体" w:eastAsia="宋体" w:cs="宋体"/>
                <w:color w:val="FF0000"/>
                <w:kern w:val="0"/>
                <w:sz w:val="20"/>
                <w:szCs w:val="20"/>
              </w:rPr>
              <w:t>●</w:t>
            </w:r>
          </w:p>
        </w:tc>
        <w:tc>
          <w:tcPr>
            <w:tcW w:w="4935" w:type="dxa"/>
            <w:shd w:val="clear" w:color="auto" w:fill="auto"/>
            <w:vAlign w:val="center"/>
          </w:tcPr>
          <w:p>
            <w:pPr>
              <w:widowControl/>
              <w:jc w:val="left"/>
              <w:rPr>
                <w:rFonts w:ascii="宋体" w:hAnsi="宋体" w:eastAsia="宋体" w:cs="宋体"/>
                <w:color w:val="FF0000"/>
                <w:kern w:val="0"/>
                <w:sz w:val="20"/>
                <w:szCs w:val="20"/>
              </w:rPr>
            </w:pPr>
            <w:r>
              <w:rPr>
                <w:rFonts w:hint="eastAsia" w:ascii="宋体" w:hAnsi="宋体" w:eastAsia="宋体" w:cs="宋体"/>
                <w:color w:val="FF0000"/>
                <w:kern w:val="0"/>
                <w:sz w:val="20"/>
                <w:szCs w:val="20"/>
              </w:rPr>
              <w:t>宫颈刮片检查是初筛宮颈癌的方法之一，因此，凡有性行为之女性，每年应检查一次，有条件应查TCT。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0" w:hRule="atLeast"/>
        </w:trPr>
        <w:tc>
          <w:tcPr>
            <w:tcW w:w="3520" w:type="dxa"/>
            <w:gridSpan w:val="2"/>
            <w:shd w:val="clear" w:color="000000" w:fill="C0C0C0"/>
            <w:vAlign w:val="center"/>
          </w:tcPr>
          <w:p>
            <w:pPr>
              <w:widowControl/>
              <w:jc w:val="left"/>
              <w:rPr>
                <w:rFonts w:ascii="宋体" w:hAnsi="宋体" w:eastAsia="宋体" w:cs="宋体"/>
                <w:b/>
                <w:bCs/>
                <w:kern w:val="0"/>
                <w:sz w:val="22"/>
              </w:rPr>
            </w:pPr>
            <w:r>
              <w:rPr>
                <w:rFonts w:hint="eastAsia" w:ascii="宋体" w:hAnsi="宋体" w:eastAsia="宋体" w:cs="宋体"/>
                <w:b/>
                <w:bCs/>
                <w:kern w:val="0"/>
                <w:sz w:val="22"/>
              </w:rPr>
              <w:t>血液检查</w:t>
            </w:r>
          </w:p>
        </w:tc>
        <w:tc>
          <w:tcPr>
            <w:tcW w:w="600" w:type="dxa"/>
            <w:shd w:val="clear" w:color="000000" w:fill="C0C0C0"/>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600" w:type="dxa"/>
            <w:shd w:val="clear" w:color="000000" w:fill="C0C0C0"/>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600" w:type="dxa"/>
            <w:shd w:val="clear" w:color="000000" w:fill="C0C0C0"/>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4935" w:type="dxa"/>
            <w:shd w:val="clear" w:color="000000" w:fill="C0C0C0"/>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3520" w:type="dxa"/>
            <w:gridSpan w:val="2"/>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抽血</w:t>
            </w:r>
          </w:p>
        </w:tc>
        <w:tc>
          <w:tcPr>
            <w:tcW w:w="600" w:type="dxa"/>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w:t>
            </w:r>
          </w:p>
        </w:tc>
        <w:tc>
          <w:tcPr>
            <w:tcW w:w="600" w:type="dxa"/>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w:t>
            </w:r>
          </w:p>
        </w:tc>
        <w:tc>
          <w:tcPr>
            <w:tcW w:w="600" w:type="dxa"/>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w:t>
            </w:r>
          </w:p>
        </w:tc>
        <w:tc>
          <w:tcPr>
            <w:tcW w:w="4935" w:type="dxa"/>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9" w:hRule="atLeast"/>
        </w:trPr>
        <w:tc>
          <w:tcPr>
            <w:tcW w:w="1240" w:type="dxa"/>
            <w:vMerge w:val="restart"/>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血常规18项</w:t>
            </w:r>
          </w:p>
        </w:tc>
        <w:tc>
          <w:tcPr>
            <w:tcW w:w="2280" w:type="dxa"/>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红细胞</w:t>
            </w:r>
          </w:p>
        </w:tc>
        <w:tc>
          <w:tcPr>
            <w:tcW w:w="600" w:type="dxa"/>
            <w:vMerge w:val="restart"/>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w:t>
            </w:r>
          </w:p>
        </w:tc>
        <w:tc>
          <w:tcPr>
            <w:tcW w:w="600" w:type="dxa"/>
            <w:vMerge w:val="restart"/>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w:t>
            </w:r>
          </w:p>
        </w:tc>
        <w:tc>
          <w:tcPr>
            <w:tcW w:w="600" w:type="dxa"/>
            <w:vMerge w:val="restart"/>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w:t>
            </w:r>
          </w:p>
        </w:tc>
        <w:tc>
          <w:tcPr>
            <w:tcW w:w="4935" w:type="dxa"/>
            <w:vMerge w:val="restart"/>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对诊断各种原因引起的贫血、白细胞减少、红细胞增多症、白血病、再生障碍性贫血及急性感染等有参考意义。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2" w:hRule="atLeast"/>
        </w:trPr>
        <w:tc>
          <w:tcPr>
            <w:tcW w:w="1240" w:type="dxa"/>
            <w:vMerge w:val="continue"/>
            <w:vAlign w:val="center"/>
          </w:tcPr>
          <w:p>
            <w:pPr>
              <w:widowControl/>
              <w:jc w:val="left"/>
              <w:rPr>
                <w:rFonts w:ascii="宋体" w:hAnsi="宋体" w:eastAsia="宋体" w:cs="宋体"/>
                <w:kern w:val="0"/>
                <w:sz w:val="20"/>
                <w:szCs w:val="20"/>
              </w:rPr>
            </w:pPr>
          </w:p>
        </w:tc>
        <w:tc>
          <w:tcPr>
            <w:tcW w:w="2280" w:type="dxa"/>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白细胞</w:t>
            </w:r>
          </w:p>
        </w:tc>
        <w:tc>
          <w:tcPr>
            <w:tcW w:w="600" w:type="dxa"/>
            <w:vMerge w:val="continue"/>
            <w:vAlign w:val="center"/>
          </w:tcPr>
          <w:p>
            <w:pPr>
              <w:widowControl/>
              <w:jc w:val="left"/>
              <w:rPr>
                <w:rFonts w:ascii="宋体" w:hAnsi="宋体" w:eastAsia="宋体" w:cs="宋体"/>
                <w:kern w:val="0"/>
                <w:sz w:val="20"/>
                <w:szCs w:val="20"/>
              </w:rPr>
            </w:pPr>
          </w:p>
        </w:tc>
        <w:tc>
          <w:tcPr>
            <w:tcW w:w="600" w:type="dxa"/>
            <w:vMerge w:val="continue"/>
            <w:vAlign w:val="center"/>
          </w:tcPr>
          <w:p>
            <w:pPr>
              <w:widowControl/>
              <w:jc w:val="left"/>
              <w:rPr>
                <w:rFonts w:ascii="宋体" w:hAnsi="宋体" w:eastAsia="宋体" w:cs="宋体"/>
                <w:kern w:val="0"/>
                <w:sz w:val="20"/>
                <w:szCs w:val="20"/>
              </w:rPr>
            </w:pPr>
          </w:p>
        </w:tc>
        <w:tc>
          <w:tcPr>
            <w:tcW w:w="600" w:type="dxa"/>
            <w:vMerge w:val="continue"/>
            <w:vAlign w:val="center"/>
          </w:tcPr>
          <w:p>
            <w:pPr>
              <w:widowControl/>
              <w:jc w:val="left"/>
              <w:rPr>
                <w:rFonts w:ascii="宋体" w:hAnsi="宋体" w:eastAsia="宋体" w:cs="宋体"/>
                <w:kern w:val="0"/>
                <w:sz w:val="20"/>
                <w:szCs w:val="20"/>
              </w:rPr>
            </w:pPr>
          </w:p>
        </w:tc>
        <w:tc>
          <w:tcPr>
            <w:tcW w:w="4935" w:type="dxa"/>
            <w:vMerge w:val="continue"/>
            <w:vAlign w:val="center"/>
          </w:tcPr>
          <w:p>
            <w:pPr>
              <w:widowControl/>
              <w:jc w:val="left"/>
              <w:rPr>
                <w:rFonts w:ascii="宋体" w:hAnsi="宋体" w:eastAsia="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trPr>
        <w:tc>
          <w:tcPr>
            <w:tcW w:w="1240" w:type="dxa"/>
            <w:vMerge w:val="continue"/>
            <w:vAlign w:val="center"/>
          </w:tcPr>
          <w:p>
            <w:pPr>
              <w:widowControl/>
              <w:jc w:val="left"/>
              <w:rPr>
                <w:rFonts w:ascii="宋体" w:hAnsi="宋体" w:eastAsia="宋体" w:cs="宋体"/>
                <w:kern w:val="0"/>
                <w:sz w:val="20"/>
                <w:szCs w:val="20"/>
              </w:rPr>
            </w:pPr>
          </w:p>
        </w:tc>
        <w:tc>
          <w:tcPr>
            <w:tcW w:w="2280" w:type="dxa"/>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白细胞分类</w:t>
            </w:r>
          </w:p>
        </w:tc>
        <w:tc>
          <w:tcPr>
            <w:tcW w:w="600" w:type="dxa"/>
            <w:vMerge w:val="continue"/>
            <w:vAlign w:val="center"/>
          </w:tcPr>
          <w:p>
            <w:pPr>
              <w:widowControl/>
              <w:jc w:val="left"/>
              <w:rPr>
                <w:rFonts w:ascii="宋体" w:hAnsi="宋体" w:eastAsia="宋体" w:cs="宋体"/>
                <w:kern w:val="0"/>
                <w:sz w:val="20"/>
                <w:szCs w:val="20"/>
              </w:rPr>
            </w:pPr>
          </w:p>
        </w:tc>
        <w:tc>
          <w:tcPr>
            <w:tcW w:w="600" w:type="dxa"/>
            <w:vMerge w:val="continue"/>
            <w:vAlign w:val="center"/>
          </w:tcPr>
          <w:p>
            <w:pPr>
              <w:widowControl/>
              <w:jc w:val="left"/>
              <w:rPr>
                <w:rFonts w:ascii="宋体" w:hAnsi="宋体" w:eastAsia="宋体" w:cs="宋体"/>
                <w:kern w:val="0"/>
                <w:sz w:val="20"/>
                <w:szCs w:val="20"/>
              </w:rPr>
            </w:pPr>
          </w:p>
        </w:tc>
        <w:tc>
          <w:tcPr>
            <w:tcW w:w="600" w:type="dxa"/>
            <w:vMerge w:val="continue"/>
            <w:vAlign w:val="center"/>
          </w:tcPr>
          <w:p>
            <w:pPr>
              <w:widowControl/>
              <w:jc w:val="left"/>
              <w:rPr>
                <w:rFonts w:ascii="宋体" w:hAnsi="宋体" w:eastAsia="宋体" w:cs="宋体"/>
                <w:kern w:val="0"/>
                <w:sz w:val="20"/>
                <w:szCs w:val="20"/>
              </w:rPr>
            </w:pPr>
          </w:p>
        </w:tc>
        <w:tc>
          <w:tcPr>
            <w:tcW w:w="4935" w:type="dxa"/>
            <w:vMerge w:val="continue"/>
            <w:vAlign w:val="center"/>
          </w:tcPr>
          <w:p>
            <w:pPr>
              <w:widowControl/>
              <w:jc w:val="left"/>
              <w:rPr>
                <w:rFonts w:ascii="宋体" w:hAnsi="宋体" w:eastAsia="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1240" w:type="dxa"/>
            <w:vMerge w:val="continue"/>
            <w:vAlign w:val="center"/>
          </w:tcPr>
          <w:p>
            <w:pPr>
              <w:widowControl/>
              <w:jc w:val="left"/>
              <w:rPr>
                <w:rFonts w:ascii="宋体" w:hAnsi="宋体" w:eastAsia="宋体" w:cs="宋体"/>
                <w:kern w:val="0"/>
                <w:sz w:val="20"/>
                <w:szCs w:val="20"/>
              </w:rPr>
            </w:pPr>
          </w:p>
        </w:tc>
        <w:tc>
          <w:tcPr>
            <w:tcW w:w="2280" w:type="dxa"/>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血红蛋白测定</w:t>
            </w:r>
          </w:p>
        </w:tc>
        <w:tc>
          <w:tcPr>
            <w:tcW w:w="600" w:type="dxa"/>
            <w:vMerge w:val="continue"/>
            <w:vAlign w:val="center"/>
          </w:tcPr>
          <w:p>
            <w:pPr>
              <w:widowControl/>
              <w:jc w:val="left"/>
              <w:rPr>
                <w:rFonts w:ascii="宋体" w:hAnsi="宋体" w:eastAsia="宋体" w:cs="宋体"/>
                <w:kern w:val="0"/>
                <w:sz w:val="20"/>
                <w:szCs w:val="20"/>
              </w:rPr>
            </w:pPr>
          </w:p>
        </w:tc>
        <w:tc>
          <w:tcPr>
            <w:tcW w:w="600" w:type="dxa"/>
            <w:vMerge w:val="continue"/>
            <w:vAlign w:val="center"/>
          </w:tcPr>
          <w:p>
            <w:pPr>
              <w:widowControl/>
              <w:jc w:val="left"/>
              <w:rPr>
                <w:rFonts w:ascii="宋体" w:hAnsi="宋体" w:eastAsia="宋体" w:cs="宋体"/>
                <w:kern w:val="0"/>
                <w:sz w:val="20"/>
                <w:szCs w:val="20"/>
              </w:rPr>
            </w:pPr>
          </w:p>
        </w:tc>
        <w:tc>
          <w:tcPr>
            <w:tcW w:w="600" w:type="dxa"/>
            <w:vMerge w:val="continue"/>
            <w:vAlign w:val="center"/>
          </w:tcPr>
          <w:p>
            <w:pPr>
              <w:widowControl/>
              <w:jc w:val="left"/>
              <w:rPr>
                <w:rFonts w:ascii="宋体" w:hAnsi="宋体" w:eastAsia="宋体" w:cs="宋体"/>
                <w:kern w:val="0"/>
                <w:sz w:val="20"/>
                <w:szCs w:val="20"/>
              </w:rPr>
            </w:pPr>
          </w:p>
        </w:tc>
        <w:tc>
          <w:tcPr>
            <w:tcW w:w="4935" w:type="dxa"/>
            <w:vMerge w:val="continue"/>
            <w:vAlign w:val="center"/>
          </w:tcPr>
          <w:p>
            <w:pPr>
              <w:widowControl/>
              <w:jc w:val="left"/>
              <w:rPr>
                <w:rFonts w:ascii="宋体" w:hAnsi="宋体" w:eastAsia="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2" w:hRule="atLeast"/>
        </w:trPr>
        <w:tc>
          <w:tcPr>
            <w:tcW w:w="1240" w:type="dxa"/>
            <w:vMerge w:val="continue"/>
            <w:vAlign w:val="center"/>
          </w:tcPr>
          <w:p>
            <w:pPr>
              <w:widowControl/>
              <w:jc w:val="left"/>
              <w:rPr>
                <w:rFonts w:ascii="宋体" w:hAnsi="宋体" w:eastAsia="宋体" w:cs="宋体"/>
                <w:kern w:val="0"/>
                <w:sz w:val="20"/>
                <w:szCs w:val="20"/>
              </w:rPr>
            </w:pPr>
          </w:p>
        </w:tc>
        <w:tc>
          <w:tcPr>
            <w:tcW w:w="2280" w:type="dxa"/>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血小板</w:t>
            </w:r>
          </w:p>
        </w:tc>
        <w:tc>
          <w:tcPr>
            <w:tcW w:w="600" w:type="dxa"/>
            <w:vMerge w:val="continue"/>
            <w:vAlign w:val="center"/>
          </w:tcPr>
          <w:p>
            <w:pPr>
              <w:widowControl/>
              <w:jc w:val="left"/>
              <w:rPr>
                <w:rFonts w:ascii="宋体" w:hAnsi="宋体" w:eastAsia="宋体" w:cs="宋体"/>
                <w:kern w:val="0"/>
                <w:sz w:val="20"/>
                <w:szCs w:val="20"/>
              </w:rPr>
            </w:pPr>
          </w:p>
        </w:tc>
        <w:tc>
          <w:tcPr>
            <w:tcW w:w="600" w:type="dxa"/>
            <w:vMerge w:val="continue"/>
            <w:vAlign w:val="center"/>
          </w:tcPr>
          <w:p>
            <w:pPr>
              <w:widowControl/>
              <w:jc w:val="left"/>
              <w:rPr>
                <w:rFonts w:ascii="宋体" w:hAnsi="宋体" w:eastAsia="宋体" w:cs="宋体"/>
                <w:kern w:val="0"/>
                <w:sz w:val="20"/>
                <w:szCs w:val="20"/>
              </w:rPr>
            </w:pPr>
          </w:p>
        </w:tc>
        <w:tc>
          <w:tcPr>
            <w:tcW w:w="600" w:type="dxa"/>
            <w:vMerge w:val="continue"/>
            <w:vAlign w:val="center"/>
          </w:tcPr>
          <w:p>
            <w:pPr>
              <w:widowControl/>
              <w:jc w:val="left"/>
              <w:rPr>
                <w:rFonts w:ascii="宋体" w:hAnsi="宋体" w:eastAsia="宋体" w:cs="宋体"/>
                <w:kern w:val="0"/>
                <w:sz w:val="20"/>
                <w:szCs w:val="20"/>
              </w:rPr>
            </w:pPr>
          </w:p>
        </w:tc>
        <w:tc>
          <w:tcPr>
            <w:tcW w:w="4935" w:type="dxa"/>
            <w:vMerge w:val="continue"/>
            <w:vAlign w:val="center"/>
          </w:tcPr>
          <w:p>
            <w:pPr>
              <w:widowControl/>
              <w:jc w:val="left"/>
              <w:rPr>
                <w:rFonts w:ascii="宋体" w:hAnsi="宋体" w:eastAsia="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2" w:hRule="atLeast"/>
        </w:trPr>
        <w:tc>
          <w:tcPr>
            <w:tcW w:w="1240" w:type="dxa"/>
            <w:vMerge w:val="continue"/>
            <w:vAlign w:val="center"/>
          </w:tcPr>
          <w:p>
            <w:pPr>
              <w:widowControl/>
              <w:jc w:val="left"/>
              <w:rPr>
                <w:rFonts w:ascii="宋体" w:hAnsi="宋体" w:eastAsia="宋体" w:cs="宋体"/>
                <w:kern w:val="0"/>
                <w:sz w:val="20"/>
                <w:szCs w:val="20"/>
              </w:rPr>
            </w:pPr>
          </w:p>
        </w:tc>
        <w:tc>
          <w:tcPr>
            <w:tcW w:w="2280" w:type="dxa"/>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红细胞压积</w:t>
            </w:r>
          </w:p>
        </w:tc>
        <w:tc>
          <w:tcPr>
            <w:tcW w:w="600" w:type="dxa"/>
            <w:vMerge w:val="continue"/>
            <w:vAlign w:val="center"/>
          </w:tcPr>
          <w:p>
            <w:pPr>
              <w:widowControl/>
              <w:jc w:val="left"/>
              <w:rPr>
                <w:rFonts w:ascii="宋体" w:hAnsi="宋体" w:eastAsia="宋体" w:cs="宋体"/>
                <w:kern w:val="0"/>
                <w:sz w:val="20"/>
                <w:szCs w:val="20"/>
              </w:rPr>
            </w:pPr>
          </w:p>
        </w:tc>
        <w:tc>
          <w:tcPr>
            <w:tcW w:w="600" w:type="dxa"/>
            <w:vMerge w:val="continue"/>
            <w:vAlign w:val="center"/>
          </w:tcPr>
          <w:p>
            <w:pPr>
              <w:widowControl/>
              <w:jc w:val="left"/>
              <w:rPr>
                <w:rFonts w:ascii="宋体" w:hAnsi="宋体" w:eastAsia="宋体" w:cs="宋体"/>
                <w:kern w:val="0"/>
                <w:sz w:val="20"/>
                <w:szCs w:val="20"/>
              </w:rPr>
            </w:pPr>
          </w:p>
        </w:tc>
        <w:tc>
          <w:tcPr>
            <w:tcW w:w="600" w:type="dxa"/>
            <w:vMerge w:val="continue"/>
            <w:vAlign w:val="center"/>
          </w:tcPr>
          <w:p>
            <w:pPr>
              <w:widowControl/>
              <w:jc w:val="left"/>
              <w:rPr>
                <w:rFonts w:ascii="宋体" w:hAnsi="宋体" w:eastAsia="宋体" w:cs="宋体"/>
                <w:kern w:val="0"/>
                <w:sz w:val="20"/>
                <w:szCs w:val="20"/>
              </w:rPr>
            </w:pPr>
          </w:p>
        </w:tc>
        <w:tc>
          <w:tcPr>
            <w:tcW w:w="4935" w:type="dxa"/>
            <w:vMerge w:val="continue"/>
            <w:vAlign w:val="center"/>
          </w:tcPr>
          <w:p>
            <w:pPr>
              <w:widowControl/>
              <w:jc w:val="left"/>
              <w:rPr>
                <w:rFonts w:ascii="宋体" w:hAnsi="宋体" w:eastAsia="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1240" w:type="dxa"/>
            <w:vMerge w:val="continue"/>
            <w:vAlign w:val="center"/>
          </w:tcPr>
          <w:p>
            <w:pPr>
              <w:widowControl/>
              <w:jc w:val="left"/>
              <w:rPr>
                <w:rFonts w:ascii="宋体" w:hAnsi="宋体" w:eastAsia="宋体" w:cs="宋体"/>
                <w:kern w:val="0"/>
                <w:sz w:val="20"/>
                <w:szCs w:val="20"/>
              </w:rPr>
            </w:pPr>
          </w:p>
        </w:tc>
        <w:tc>
          <w:tcPr>
            <w:tcW w:w="2280" w:type="dxa"/>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w:t>
            </w:r>
          </w:p>
        </w:tc>
        <w:tc>
          <w:tcPr>
            <w:tcW w:w="600" w:type="dxa"/>
            <w:vMerge w:val="continue"/>
            <w:vAlign w:val="center"/>
          </w:tcPr>
          <w:p>
            <w:pPr>
              <w:widowControl/>
              <w:jc w:val="left"/>
              <w:rPr>
                <w:rFonts w:ascii="宋体" w:hAnsi="宋体" w:eastAsia="宋体" w:cs="宋体"/>
                <w:kern w:val="0"/>
                <w:sz w:val="20"/>
                <w:szCs w:val="20"/>
              </w:rPr>
            </w:pPr>
          </w:p>
        </w:tc>
        <w:tc>
          <w:tcPr>
            <w:tcW w:w="600" w:type="dxa"/>
            <w:vMerge w:val="continue"/>
            <w:vAlign w:val="center"/>
          </w:tcPr>
          <w:p>
            <w:pPr>
              <w:widowControl/>
              <w:jc w:val="left"/>
              <w:rPr>
                <w:rFonts w:ascii="宋体" w:hAnsi="宋体" w:eastAsia="宋体" w:cs="宋体"/>
                <w:kern w:val="0"/>
                <w:sz w:val="20"/>
                <w:szCs w:val="20"/>
              </w:rPr>
            </w:pPr>
          </w:p>
        </w:tc>
        <w:tc>
          <w:tcPr>
            <w:tcW w:w="600" w:type="dxa"/>
            <w:vMerge w:val="continue"/>
            <w:vAlign w:val="center"/>
          </w:tcPr>
          <w:p>
            <w:pPr>
              <w:widowControl/>
              <w:jc w:val="left"/>
              <w:rPr>
                <w:rFonts w:ascii="宋体" w:hAnsi="宋体" w:eastAsia="宋体" w:cs="宋体"/>
                <w:kern w:val="0"/>
                <w:sz w:val="20"/>
                <w:szCs w:val="20"/>
              </w:rPr>
            </w:pPr>
          </w:p>
        </w:tc>
        <w:tc>
          <w:tcPr>
            <w:tcW w:w="4935" w:type="dxa"/>
            <w:vMerge w:val="continue"/>
            <w:vAlign w:val="center"/>
          </w:tcPr>
          <w:p>
            <w:pPr>
              <w:widowControl/>
              <w:jc w:val="left"/>
              <w:rPr>
                <w:rFonts w:ascii="宋体" w:hAnsi="宋体" w:eastAsia="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0" w:hRule="atLeast"/>
        </w:trPr>
        <w:tc>
          <w:tcPr>
            <w:tcW w:w="3520" w:type="dxa"/>
            <w:gridSpan w:val="2"/>
            <w:shd w:val="clear" w:color="000000" w:fill="C0C0C0"/>
            <w:vAlign w:val="center"/>
          </w:tcPr>
          <w:p>
            <w:pPr>
              <w:widowControl/>
              <w:jc w:val="left"/>
              <w:rPr>
                <w:rFonts w:ascii="宋体" w:hAnsi="宋体" w:eastAsia="宋体" w:cs="宋体"/>
                <w:b/>
                <w:bCs/>
                <w:kern w:val="0"/>
                <w:sz w:val="22"/>
              </w:rPr>
            </w:pPr>
            <w:r>
              <w:rPr>
                <w:rFonts w:hint="eastAsia" w:ascii="宋体" w:hAnsi="宋体" w:eastAsia="宋体" w:cs="宋体"/>
                <w:b/>
                <w:bCs/>
                <w:kern w:val="0"/>
                <w:sz w:val="22"/>
              </w:rPr>
              <w:t>尿液检查</w:t>
            </w:r>
          </w:p>
        </w:tc>
        <w:tc>
          <w:tcPr>
            <w:tcW w:w="600" w:type="dxa"/>
            <w:shd w:val="clear" w:color="000000" w:fill="C0C0C0"/>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600" w:type="dxa"/>
            <w:shd w:val="clear" w:color="000000" w:fill="C0C0C0"/>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600" w:type="dxa"/>
            <w:shd w:val="clear" w:color="000000" w:fill="C0C0C0"/>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4935" w:type="dxa"/>
            <w:shd w:val="clear" w:color="000000" w:fill="C0C0C0"/>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1240" w:type="dxa"/>
            <w:vMerge w:val="restart"/>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尿常规</w:t>
            </w:r>
          </w:p>
        </w:tc>
        <w:tc>
          <w:tcPr>
            <w:tcW w:w="2280" w:type="dxa"/>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尿糖</w:t>
            </w:r>
          </w:p>
        </w:tc>
        <w:tc>
          <w:tcPr>
            <w:tcW w:w="600" w:type="dxa"/>
            <w:vMerge w:val="restart"/>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w:t>
            </w:r>
          </w:p>
        </w:tc>
        <w:tc>
          <w:tcPr>
            <w:tcW w:w="600" w:type="dxa"/>
            <w:vMerge w:val="restart"/>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w:t>
            </w:r>
          </w:p>
        </w:tc>
        <w:tc>
          <w:tcPr>
            <w:tcW w:w="600" w:type="dxa"/>
            <w:vMerge w:val="restart"/>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w:t>
            </w:r>
          </w:p>
        </w:tc>
        <w:tc>
          <w:tcPr>
            <w:tcW w:w="4935" w:type="dxa"/>
            <w:vMerge w:val="restart"/>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辅助诊断泌尿系、肝胆疾病以及一些内分泌疾病的信息，为临床诊断提供有价值的信息。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1240" w:type="dxa"/>
            <w:vMerge w:val="continue"/>
            <w:vAlign w:val="center"/>
          </w:tcPr>
          <w:p>
            <w:pPr>
              <w:widowControl/>
              <w:jc w:val="left"/>
              <w:rPr>
                <w:rFonts w:ascii="宋体" w:hAnsi="宋体" w:eastAsia="宋体" w:cs="宋体"/>
                <w:kern w:val="0"/>
                <w:sz w:val="20"/>
                <w:szCs w:val="20"/>
              </w:rPr>
            </w:pPr>
          </w:p>
        </w:tc>
        <w:tc>
          <w:tcPr>
            <w:tcW w:w="2280" w:type="dxa"/>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尿蛋白</w:t>
            </w:r>
          </w:p>
        </w:tc>
        <w:tc>
          <w:tcPr>
            <w:tcW w:w="600" w:type="dxa"/>
            <w:vMerge w:val="continue"/>
            <w:vAlign w:val="center"/>
          </w:tcPr>
          <w:p>
            <w:pPr>
              <w:widowControl/>
              <w:jc w:val="left"/>
              <w:rPr>
                <w:rFonts w:ascii="宋体" w:hAnsi="宋体" w:eastAsia="宋体" w:cs="宋体"/>
                <w:kern w:val="0"/>
                <w:sz w:val="20"/>
                <w:szCs w:val="20"/>
              </w:rPr>
            </w:pPr>
          </w:p>
        </w:tc>
        <w:tc>
          <w:tcPr>
            <w:tcW w:w="600" w:type="dxa"/>
            <w:vMerge w:val="continue"/>
            <w:vAlign w:val="center"/>
          </w:tcPr>
          <w:p>
            <w:pPr>
              <w:widowControl/>
              <w:jc w:val="left"/>
              <w:rPr>
                <w:rFonts w:ascii="宋体" w:hAnsi="宋体" w:eastAsia="宋体" w:cs="宋体"/>
                <w:kern w:val="0"/>
                <w:sz w:val="20"/>
                <w:szCs w:val="20"/>
              </w:rPr>
            </w:pPr>
          </w:p>
        </w:tc>
        <w:tc>
          <w:tcPr>
            <w:tcW w:w="600" w:type="dxa"/>
            <w:vMerge w:val="continue"/>
            <w:vAlign w:val="center"/>
          </w:tcPr>
          <w:p>
            <w:pPr>
              <w:widowControl/>
              <w:jc w:val="left"/>
              <w:rPr>
                <w:rFonts w:ascii="宋体" w:hAnsi="宋体" w:eastAsia="宋体" w:cs="宋体"/>
                <w:kern w:val="0"/>
                <w:sz w:val="20"/>
                <w:szCs w:val="20"/>
              </w:rPr>
            </w:pPr>
          </w:p>
        </w:tc>
        <w:tc>
          <w:tcPr>
            <w:tcW w:w="4935" w:type="dxa"/>
            <w:vMerge w:val="continue"/>
            <w:vAlign w:val="center"/>
          </w:tcPr>
          <w:p>
            <w:pPr>
              <w:widowControl/>
              <w:jc w:val="left"/>
              <w:rPr>
                <w:rFonts w:ascii="宋体" w:hAnsi="宋体" w:eastAsia="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1240" w:type="dxa"/>
            <w:vMerge w:val="continue"/>
            <w:vAlign w:val="center"/>
          </w:tcPr>
          <w:p>
            <w:pPr>
              <w:widowControl/>
              <w:jc w:val="left"/>
              <w:rPr>
                <w:rFonts w:ascii="宋体" w:hAnsi="宋体" w:eastAsia="宋体" w:cs="宋体"/>
                <w:kern w:val="0"/>
                <w:sz w:val="20"/>
                <w:szCs w:val="20"/>
              </w:rPr>
            </w:pPr>
          </w:p>
        </w:tc>
        <w:tc>
          <w:tcPr>
            <w:tcW w:w="2280" w:type="dxa"/>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尿潜血</w:t>
            </w:r>
          </w:p>
        </w:tc>
        <w:tc>
          <w:tcPr>
            <w:tcW w:w="600" w:type="dxa"/>
            <w:vMerge w:val="continue"/>
            <w:vAlign w:val="center"/>
          </w:tcPr>
          <w:p>
            <w:pPr>
              <w:widowControl/>
              <w:jc w:val="left"/>
              <w:rPr>
                <w:rFonts w:ascii="宋体" w:hAnsi="宋体" w:eastAsia="宋体" w:cs="宋体"/>
                <w:kern w:val="0"/>
                <w:sz w:val="20"/>
                <w:szCs w:val="20"/>
              </w:rPr>
            </w:pPr>
          </w:p>
        </w:tc>
        <w:tc>
          <w:tcPr>
            <w:tcW w:w="600" w:type="dxa"/>
            <w:vMerge w:val="continue"/>
            <w:vAlign w:val="center"/>
          </w:tcPr>
          <w:p>
            <w:pPr>
              <w:widowControl/>
              <w:jc w:val="left"/>
              <w:rPr>
                <w:rFonts w:ascii="宋体" w:hAnsi="宋体" w:eastAsia="宋体" w:cs="宋体"/>
                <w:kern w:val="0"/>
                <w:sz w:val="20"/>
                <w:szCs w:val="20"/>
              </w:rPr>
            </w:pPr>
          </w:p>
        </w:tc>
        <w:tc>
          <w:tcPr>
            <w:tcW w:w="600" w:type="dxa"/>
            <w:vMerge w:val="continue"/>
            <w:vAlign w:val="center"/>
          </w:tcPr>
          <w:p>
            <w:pPr>
              <w:widowControl/>
              <w:jc w:val="left"/>
              <w:rPr>
                <w:rFonts w:ascii="宋体" w:hAnsi="宋体" w:eastAsia="宋体" w:cs="宋体"/>
                <w:kern w:val="0"/>
                <w:sz w:val="20"/>
                <w:szCs w:val="20"/>
              </w:rPr>
            </w:pPr>
          </w:p>
        </w:tc>
        <w:tc>
          <w:tcPr>
            <w:tcW w:w="4935" w:type="dxa"/>
            <w:vMerge w:val="continue"/>
            <w:vAlign w:val="center"/>
          </w:tcPr>
          <w:p>
            <w:pPr>
              <w:widowControl/>
              <w:jc w:val="left"/>
              <w:rPr>
                <w:rFonts w:ascii="宋体" w:hAnsi="宋体" w:eastAsia="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1240" w:type="dxa"/>
            <w:vMerge w:val="continue"/>
            <w:vAlign w:val="center"/>
          </w:tcPr>
          <w:p>
            <w:pPr>
              <w:widowControl/>
              <w:jc w:val="left"/>
              <w:rPr>
                <w:rFonts w:ascii="宋体" w:hAnsi="宋体" w:eastAsia="宋体" w:cs="宋体"/>
                <w:kern w:val="0"/>
                <w:sz w:val="20"/>
                <w:szCs w:val="20"/>
              </w:rPr>
            </w:pPr>
          </w:p>
        </w:tc>
        <w:tc>
          <w:tcPr>
            <w:tcW w:w="2280" w:type="dxa"/>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比重</w:t>
            </w:r>
          </w:p>
        </w:tc>
        <w:tc>
          <w:tcPr>
            <w:tcW w:w="600" w:type="dxa"/>
            <w:vMerge w:val="continue"/>
            <w:vAlign w:val="center"/>
          </w:tcPr>
          <w:p>
            <w:pPr>
              <w:widowControl/>
              <w:jc w:val="left"/>
              <w:rPr>
                <w:rFonts w:ascii="宋体" w:hAnsi="宋体" w:eastAsia="宋体" w:cs="宋体"/>
                <w:kern w:val="0"/>
                <w:sz w:val="20"/>
                <w:szCs w:val="20"/>
              </w:rPr>
            </w:pPr>
          </w:p>
        </w:tc>
        <w:tc>
          <w:tcPr>
            <w:tcW w:w="600" w:type="dxa"/>
            <w:vMerge w:val="continue"/>
            <w:vAlign w:val="center"/>
          </w:tcPr>
          <w:p>
            <w:pPr>
              <w:widowControl/>
              <w:jc w:val="left"/>
              <w:rPr>
                <w:rFonts w:ascii="宋体" w:hAnsi="宋体" w:eastAsia="宋体" w:cs="宋体"/>
                <w:kern w:val="0"/>
                <w:sz w:val="20"/>
                <w:szCs w:val="20"/>
              </w:rPr>
            </w:pPr>
          </w:p>
        </w:tc>
        <w:tc>
          <w:tcPr>
            <w:tcW w:w="600" w:type="dxa"/>
            <w:vMerge w:val="continue"/>
            <w:vAlign w:val="center"/>
          </w:tcPr>
          <w:p>
            <w:pPr>
              <w:widowControl/>
              <w:jc w:val="left"/>
              <w:rPr>
                <w:rFonts w:ascii="宋体" w:hAnsi="宋体" w:eastAsia="宋体" w:cs="宋体"/>
                <w:kern w:val="0"/>
                <w:sz w:val="20"/>
                <w:szCs w:val="20"/>
              </w:rPr>
            </w:pPr>
          </w:p>
        </w:tc>
        <w:tc>
          <w:tcPr>
            <w:tcW w:w="4935" w:type="dxa"/>
            <w:vMerge w:val="continue"/>
            <w:vAlign w:val="center"/>
          </w:tcPr>
          <w:p>
            <w:pPr>
              <w:widowControl/>
              <w:jc w:val="left"/>
              <w:rPr>
                <w:rFonts w:ascii="宋体" w:hAnsi="宋体" w:eastAsia="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1240" w:type="dxa"/>
            <w:vMerge w:val="continue"/>
            <w:vAlign w:val="center"/>
          </w:tcPr>
          <w:p>
            <w:pPr>
              <w:widowControl/>
              <w:jc w:val="left"/>
              <w:rPr>
                <w:rFonts w:ascii="宋体" w:hAnsi="宋体" w:eastAsia="宋体" w:cs="宋体"/>
                <w:kern w:val="0"/>
                <w:sz w:val="20"/>
                <w:szCs w:val="20"/>
              </w:rPr>
            </w:pPr>
          </w:p>
        </w:tc>
        <w:tc>
          <w:tcPr>
            <w:tcW w:w="2280" w:type="dxa"/>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w:t>
            </w:r>
          </w:p>
        </w:tc>
        <w:tc>
          <w:tcPr>
            <w:tcW w:w="600" w:type="dxa"/>
            <w:vMerge w:val="continue"/>
            <w:vAlign w:val="center"/>
          </w:tcPr>
          <w:p>
            <w:pPr>
              <w:widowControl/>
              <w:jc w:val="left"/>
              <w:rPr>
                <w:rFonts w:ascii="宋体" w:hAnsi="宋体" w:eastAsia="宋体" w:cs="宋体"/>
                <w:kern w:val="0"/>
                <w:sz w:val="20"/>
                <w:szCs w:val="20"/>
              </w:rPr>
            </w:pPr>
          </w:p>
        </w:tc>
        <w:tc>
          <w:tcPr>
            <w:tcW w:w="600" w:type="dxa"/>
            <w:vMerge w:val="continue"/>
            <w:vAlign w:val="center"/>
          </w:tcPr>
          <w:p>
            <w:pPr>
              <w:widowControl/>
              <w:jc w:val="left"/>
              <w:rPr>
                <w:rFonts w:ascii="宋体" w:hAnsi="宋体" w:eastAsia="宋体" w:cs="宋体"/>
                <w:kern w:val="0"/>
                <w:sz w:val="20"/>
                <w:szCs w:val="20"/>
              </w:rPr>
            </w:pPr>
          </w:p>
        </w:tc>
        <w:tc>
          <w:tcPr>
            <w:tcW w:w="600" w:type="dxa"/>
            <w:vMerge w:val="continue"/>
            <w:vAlign w:val="center"/>
          </w:tcPr>
          <w:p>
            <w:pPr>
              <w:widowControl/>
              <w:jc w:val="left"/>
              <w:rPr>
                <w:rFonts w:ascii="宋体" w:hAnsi="宋体" w:eastAsia="宋体" w:cs="宋体"/>
                <w:kern w:val="0"/>
                <w:sz w:val="20"/>
                <w:szCs w:val="20"/>
              </w:rPr>
            </w:pPr>
          </w:p>
        </w:tc>
        <w:tc>
          <w:tcPr>
            <w:tcW w:w="4935" w:type="dxa"/>
            <w:vMerge w:val="continue"/>
            <w:vAlign w:val="center"/>
          </w:tcPr>
          <w:p>
            <w:pPr>
              <w:widowControl/>
              <w:jc w:val="left"/>
              <w:rPr>
                <w:rFonts w:ascii="宋体" w:hAnsi="宋体" w:eastAsia="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0" w:hRule="atLeast"/>
        </w:trPr>
        <w:tc>
          <w:tcPr>
            <w:tcW w:w="3520" w:type="dxa"/>
            <w:gridSpan w:val="2"/>
            <w:shd w:val="clear" w:color="000000" w:fill="C0C0C0"/>
            <w:vAlign w:val="center"/>
          </w:tcPr>
          <w:p>
            <w:pPr>
              <w:widowControl/>
              <w:jc w:val="left"/>
              <w:rPr>
                <w:rFonts w:ascii="宋体" w:hAnsi="宋体" w:eastAsia="宋体" w:cs="宋体"/>
                <w:b/>
                <w:bCs/>
                <w:kern w:val="0"/>
                <w:sz w:val="22"/>
              </w:rPr>
            </w:pPr>
            <w:r>
              <w:rPr>
                <w:rFonts w:hint="eastAsia" w:ascii="宋体" w:hAnsi="宋体" w:eastAsia="宋体" w:cs="宋体"/>
                <w:b/>
                <w:bCs/>
                <w:kern w:val="0"/>
                <w:sz w:val="22"/>
              </w:rPr>
              <w:t>肝胆疾病检测系列</w:t>
            </w:r>
          </w:p>
        </w:tc>
        <w:tc>
          <w:tcPr>
            <w:tcW w:w="600" w:type="dxa"/>
            <w:shd w:val="clear" w:color="000000" w:fill="C0C0C0"/>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　</w:t>
            </w:r>
          </w:p>
        </w:tc>
        <w:tc>
          <w:tcPr>
            <w:tcW w:w="600" w:type="dxa"/>
            <w:shd w:val="clear" w:color="000000" w:fill="C0C0C0"/>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　</w:t>
            </w:r>
          </w:p>
        </w:tc>
        <w:tc>
          <w:tcPr>
            <w:tcW w:w="600" w:type="dxa"/>
            <w:shd w:val="clear" w:color="000000" w:fill="C0C0C0"/>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　</w:t>
            </w:r>
          </w:p>
        </w:tc>
        <w:tc>
          <w:tcPr>
            <w:tcW w:w="4935" w:type="dxa"/>
            <w:shd w:val="clear" w:color="000000" w:fill="C0C0C0"/>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3520" w:type="dxa"/>
            <w:gridSpan w:val="2"/>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肝功2项</w:t>
            </w:r>
          </w:p>
        </w:tc>
        <w:tc>
          <w:tcPr>
            <w:tcW w:w="600" w:type="dxa"/>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w:t>
            </w:r>
          </w:p>
        </w:tc>
        <w:tc>
          <w:tcPr>
            <w:tcW w:w="600" w:type="dxa"/>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w:t>
            </w:r>
          </w:p>
        </w:tc>
        <w:tc>
          <w:tcPr>
            <w:tcW w:w="600" w:type="dxa"/>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w:t>
            </w:r>
          </w:p>
        </w:tc>
        <w:tc>
          <w:tcPr>
            <w:tcW w:w="4935" w:type="dxa"/>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ALT\AST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0" w:hRule="atLeast"/>
        </w:trPr>
        <w:tc>
          <w:tcPr>
            <w:tcW w:w="3520" w:type="dxa"/>
            <w:gridSpan w:val="2"/>
            <w:shd w:val="clear" w:color="000000" w:fill="C0C0C0"/>
            <w:vAlign w:val="center"/>
          </w:tcPr>
          <w:p>
            <w:pPr>
              <w:widowControl/>
              <w:jc w:val="left"/>
              <w:rPr>
                <w:rFonts w:ascii="宋体" w:hAnsi="宋体" w:eastAsia="宋体" w:cs="宋体"/>
                <w:b/>
                <w:bCs/>
                <w:kern w:val="0"/>
                <w:sz w:val="22"/>
              </w:rPr>
            </w:pPr>
            <w:r>
              <w:rPr>
                <w:rFonts w:hint="eastAsia" w:ascii="宋体" w:hAnsi="宋体" w:eastAsia="宋体" w:cs="宋体"/>
                <w:b/>
                <w:bCs/>
                <w:kern w:val="0"/>
                <w:sz w:val="22"/>
              </w:rPr>
              <w:t>心脑血管疾病检测系列</w:t>
            </w:r>
          </w:p>
        </w:tc>
        <w:tc>
          <w:tcPr>
            <w:tcW w:w="600" w:type="dxa"/>
            <w:shd w:val="clear" w:color="000000" w:fill="C0C0C0"/>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600" w:type="dxa"/>
            <w:shd w:val="clear" w:color="000000" w:fill="C0C0C0"/>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600" w:type="dxa"/>
            <w:shd w:val="clear" w:color="000000" w:fill="C0C0C0"/>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4935" w:type="dxa"/>
            <w:shd w:val="clear" w:color="000000" w:fill="C0C0C0"/>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5" w:hRule="atLeast"/>
        </w:trPr>
        <w:tc>
          <w:tcPr>
            <w:tcW w:w="3520" w:type="dxa"/>
            <w:gridSpan w:val="2"/>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血脂二项（TG\TC）</w:t>
            </w:r>
          </w:p>
        </w:tc>
        <w:tc>
          <w:tcPr>
            <w:tcW w:w="600" w:type="dxa"/>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w:t>
            </w:r>
          </w:p>
        </w:tc>
        <w:tc>
          <w:tcPr>
            <w:tcW w:w="600" w:type="dxa"/>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w:t>
            </w:r>
          </w:p>
        </w:tc>
        <w:tc>
          <w:tcPr>
            <w:tcW w:w="600" w:type="dxa"/>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w:t>
            </w:r>
          </w:p>
        </w:tc>
        <w:tc>
          <w:tcPr>
            <w:tcW w:w="4935" w:type="dxa"/>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TG\TC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0" w:hRule="atLeast"/>
        </w:trPr>
        <w:tc>
          <w:tcPr>
            <w:tcW w:w="3520" w:type="dxa"/>
            <w:gridSpan w:val="2"/>
            <w:shd w:val="clear" w:color="000000" w:fill="C0C0C0"/>
            <w:vAlign w:val="center"/>
          </w:tcPr>
          <w:p>
            <w:pPr>
              <w:widowControl/>
              <w:jc w:val="left"/>
              <w:rPr>
                <w:rFonts w:ascii="宋体" w:hAnsi="宋体" w:eastAsia="宋体" w:cs="宋体"/>
                <w:b/>
                <w:bCs/>
                <w:kern w:val="0"/>
                <w:sz w:val="22"/>
              </w:rPr>
            </w:pPr>
            <w:r>
              <w:rPr>
                <w:rFonts w:hint="eastAsia" w:ascii="宋体" w:hAnsi="宋体" w:eastAsia="宋体" w:cs="宋体"/>
                <w:b/>
                <w:bCs/>
                <w:kern w:val="0"/>
                <w:sz w:val="22"/>
              </w:rPr>
              <w:t>肾功能检测系列</w:t>
            </w:r>
          </w:p>
        </w:tc>
        <w:tc>
          <w:tcPr>
            <w:tcW w:w="600" w:type="dxa"/>
            <w:shd w:val="clear" w:color="000000" w:fill="C0C0C0"/>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600" w:type="dxa"/>
            <w:shd w:val="clear" w:color="000000" w:fill="C0C0C0"/>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600" w:type="dxa"/>
            <w:shd w:val="clear" w:color="000000" w:fill="C0C0C0"/>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4935" w:type="dxa"/>
            <w:shd w:val="clear" w:color="000000" w:fill="C0C0C0"/>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3520" w:type="dxa"/>
            <w:gridSpan w:val="2"/>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肾功三项</w:t>
            </w:r>
          </w:p>
        </w:tc>
        <w:tc>
          <w:tcPr>
            <w:tcW w:w="600" w:type="dxa"/>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w:t>
            </w:r>
          </w:p>
        </w:tc>
        <w:tc>
          <w:tcPr>
            <w:tcW w:w="600" w:type="dxa"/>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w:t>
            </w:r>
          </w:p>
        </w:tc>
        <w:tc>
          <w:tcPr>
            <w:tcW w:w="600" w:type="dxa"/>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w:t>
            </w:r>
          </w:p>
        </w:tc>
        <w:tc>
          <w:tcPr>
            <w:tcW w:w="4935" w:type="dxa"/>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0" w:hRule="atLeast"/>
        </w:trPr>
        <w:tc>
          <w:tcPr>
            <w:tcW w:w="3520" w:type="dxa"/>
            <w:gridSpan w:val="2"/>
            <w:shd w:val="clear" w:color="000000" w:fill="C0C0C0"/>
            <w:vAlign w:val="center"/>
          </w:tcPr>
          <w:p>
            <w:pPr>
              <w:widowControl/>
              <w:jc w:val="left"/>
              <w:rPr>
                <w:rFonts w:ascii="宋体" w:hAnsi="宋体" w:eastAsia="宋体" w:cs="宋体"/>
                <w:b/>
                <w:bCs/>
                <w:kern w:val="0"/>
                <w:sz w:val="22"/>
              </w:rPr>
            </w:pPr>
            <w:r>
              <w:rPr>
                <w:rFonts w:hint="eastAsia" w:ascii="宋体" w:hAnsi="宋体" w:eastAsia="宋体" w:cs="宋体"/>
                <w:b/>
                <w:bCs/>
                <w:kern w:val="0"/>
                <w:sz w:val="22"/>
              </w:rPr>
              <w:t>肿瘤检测系列</w:t>
            </w:r>
          </w:p>
        </w:tc>
        <w:tc>
          <w:tcPr>
            <w:tcW w:w="600" w:type="dxa"/>
            <w:shd w:val="clear" w:color="000000" w:fill="C0C0C0"/>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600" w:type="dxa"/>
            <w:shd w:val="clear" w:color="000000" w:fill="C0C0C0"/>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600" w:type="dxa"/>
            <w:shd w:val="clear" w:color="000000" w:fill="C0C0C0"/>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4935" w:type="dxa"/>
            <w:shd w:val="clear" w:color="000000" w:fill="C0C0C0"/>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trPr>
        <w:tc>
          <w:tcPr>
            <w:tcW w:w="3520" w:type="dxa"/>
            <w:gridSpan w:val="2"/>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甲胎蛋白测定(AFP)（定性）</w:t>
            </w:r>
          </w:p>
        </w:tc>
        <w:tc>
          <w:tcPr>
            <w:tcW w:w="600" w:type="dxa"/>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w:t>
            </w:r>
          </w:p>
        </w:tc>
        <w:tc>
          <w:tcPr>
            <w:tcW w:w="600" w:type="dxa"/>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w:t>
            </w:r>
          </w:p>
        </w:tc>
        <w:tc>
          <w:tcPr>
            <w:tcW w:w="600" w:type="dxa"/>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w:t>
            </w:r>
          </w:p>
        </w:tc>
        <w:tc>
          <w:tcPr>
            <w:tcW w:w="4935" w:type="dxa"/>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主要用于原发性肝癌的辅助诊断，疗效及预后监测。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0" w:hRule="atLeast"/>
        </w:trPr>
        <w:tc>
          <w:tcPr>
            <w:tcW w:w="3520" w:type="dxa"/>
            <w:gridSpan w:val="2"/>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癌胚抗原测定(CEA)（定性）</w:t>
            </w:r>
          </w:p>
        </w:tc>
        <w:tc>
          <w:tcPr>
            <w:tcW w:w="600" w:type="dxa"/>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w:t>
            </w:r>
          </w:p>
        </w:tc>
        <w:tc>
          <w:tcPr>
            <w:tcW w:w="600" w:type="dxa"/>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w:t>
            </w:r>
          </w:p>
        </w:tc>
        <w:tc>
          <w:tcPr>
            <w:tcW w:w="600" w:type="dxa"/>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w:t>
            </w:r>
          </w:p>
        </w:tc>
        <w:tc>
          <w:tcPr>
            <w:tcW w:w="4935" w:type="dxa"/>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乳腺、肺、胃、结肠、直肠及胰胆等肿瘤诊断和疗效监测、复发监测、判断预后。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0" w:hRule="atLeast"/>
        </w:trPr>
        <w:tc>
          <w:tcPr>
            <w:tcW w:w="3520" w:type="dxa"/>
            <w:gridSpan w:val="2"/>
            <w:shd w:val="clear" w:color="000000" w:fill="C0C0C0"/>
            <w:vAlign w:val="center"/>
          </w:tcPr>
          <w:p>
            <w:pPr>
              <w:widowControl/>
              <w:jc w:val="left"/>
              <w:rPr>
                <w:rFonts w:ascii="宋体" w:hAnsi="宋体" w:eastAsia="宋体" w:cs="宋体"/>
                <w:b/>
                <w:bCs/>
                <w:kern w:val="0"/>
                <w:sz w:val="22"/>
              </w:rPr>
            </w:pPr>
            <w:r>
              <w:rPr>
                <w:rFonts w:hint="eastAsia" w:ascii="宋体" w:hAnsi="宋体" w:eastAsia="宋体" w:cs="宋体"/>
                <w:b/>
                <w:bCs/>
                <w:kern w:val="0"/>
                <w:sz w:val="22"/>
              </w:rPr>
              <w:t>内分泌疾病检测系列</w:t>
            </w:r>
          </w:p>
        </w:tc>
        <w:tc>
          <w:tcPr>
            <w:tcW w:w="600" w:type="dxa"/>
            <w:shd w:val="clear" w:color="000000" w:fill="C0C0C0"/>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600" w:type="dxa"/>
            <w:shd w:val="clear" w:color="000000" w:fill="C0C0C0"/>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600" w:type="dxa"/>
            <w:shd w:val="clear" w:color="000000" w:fill="C0C0C0"/>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4935" w:type="dxa"/>
            <w:shd w:val="clear" w:color="000000" w:fill="C0C0C0"/>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2" w:hRule="atLeast"/>
        </w:trPr>
        <w:tc>
          <w:tcPr>
            <w:tcW w:w="1240" w:type="dxa"/>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糖尿病</w:t>
            </w:r>
          </w:p>
        </w:tc>
        <w:tc>
          <w:tcPr>
            <w:tcW w:w="2280" w:type="dxa"/>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空腹葡萄糖测定(GLU)</w:t>
            </w:r>
          </w:p>
        </w:tc>
        <w:tc>
          <w:tcPr>
            <w:tcW w:w="600" w:type="dxa"/>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w:t>
            </w:r>
          </w:p>
        </w:tc>
        <w:tc>
          <w:tcPr>
            <w:tcW w:w="600" w:type="dxa"/>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w:t>
            </w:r>
          </w:p>
        </w:tc>
        <w:tc>
          <w:tcPr>
            <w:tcW w:w="600" w:type="dxa"/>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w:t>
            </w:r>
          </w:p>
        </w:tc>
        <w:tc>
          <w:tcPr>
            <w:tcW w:w="4935" w:type="dxa"/>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糖尿病诊断及治疗检测。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0" w:hRule="atLeast"/>
        </w:trPr>
        <w:tc>
          <w:tcPr>
            <w:tcW w:w="3520" w:type="dxa"/>
            <w:gridSpan w:val="2"/>
            <w:shd w:val="clear" w:color="000000" w:fill="C0C0C0"/>
            <w:vAlign w:val="center"/>
          </w:tcPr>
          <w:p>
            <w:pPr>
              <w:widowControl/>
              <w:jc w:val="left"/>
              <w:rPr>
                <w:rFonts w:ascii="宋体" w:hAnsi="宋体" w:eastAsia="宋体" w:cs="宋体"/>
                <w:b/>
                <w:bCs/>
                <w:kern w:val="0"/>
                <w:sz w:val="22"/>
              </w:rPr>
            </w:pPr>
            <w:r>
              <w:rPr>
                <w:rFonts w:hint="eastAsia" w:ascii="宋体" w:hAnsi="宋体" w:eastAsia="宋体" w:cs="宋体"/>
                <w:b/>
                <w:bCs/>
                <w:kern w:val="0"/>
                <w:sz w:val="22"/>
              </w:rPr>
              <w:t>医学影像检测系列</w:t>
            </w:r>
          </w:p>
        </w:tc>
        <w:tc>
          <w:tcPr>
            <w:tcW w:w="600" w:type="dxa"/>
            <w:shd w:val="clear" w:color="000000" w:fill="C0C0C0"/>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600" w:type="dxa"/>
            <w:shd w:val="clear" w:color="000000" w:fill="C0C0C0"/>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600" w:type="dxa"/>
            <w:shd w:val="clear" w:color="000000" w:fill="C0C0C0"/>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4935" w:type="dxa"/>
            <w:shd w:val="clear" w:color="000000" w:fill="C0C0C0"/>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9" w:hRule="atLeast"/>
        </w:trPr>
        <w:tc>
          <w:tcPr>
            <w:tcW w:w="1240" w:type="dxa"/>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DR</w:t>
            </w:r>
          </w:p>
        </w:tc>
        <w:tc>
          <w:tcPr>
            <w:tcW w:w="2280" w:type="dxa"/>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胸部正位片</w:t>
            </w:r>
          </w:p>
        </w:tc>
        <w:tc>
          <w:tcPr>
            <w:tcW w:w="600" w:type="dxa"/>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w:t>
            </w:r>
          </w:p>
        </w:tc>
        <w:tc>
          <w:tcPr>
            <w:tcW w:w="600" w:type="dxa"/>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w:t>
            </w:r>
          </w:p>
        </w:tc>
        <w:tc>
          <w:tcPr>
            <w:tcW w:w="600" w:type="dxa"/>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w:t>
            </w:r>
          </w:p>
        </w:tc>
        <w:tc>
          <w:tcPr>
            <w:tcW w:w="4935" w:type="dxa"/>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检查双肺，纵隔有无疾病，以确定病变的部位大小，密度，与周边组织关系。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00" w:hRule="atLeast"/>
        </w:trPr>
        <w:tc>
          <w:tcPr>
            <w:tcW w:w="1240" w:type="dxa"/>
            <w:vMerge w:val="restart"/>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彩色B超</w:t>
            </w:r>
          </w:p>
        </w:tc>
        <w:tc>
          <w:tcPr>
            <w:tcW w:w="2280" w:type="dxa"/>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腹部彩超</w:t>
            </w:r>
          </w:p>
        </w:tc>
        <w:tc>
          <w:tcPr>
            <w:tcW w:w="600" w:type="dxa"/>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w:t>
            </w:r>
          </w:p>
        </w:tc>
        <w:tc>
          <w:tcPr>
            <w:tcW w:w="600" w:type="dxa"/>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w:t>
            </w:r>
          </w:p>
        </w:tc>
        <w:tc>
          <w:tcPr>
            <w:tcW w:w="600" w:type="dxa"/>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w:t>
            </w:r>
          </w:p>
        </w:tc>
        <w:tc>
          <w:tcPr>
            <w:tcW w:w="4935" w:type="dxa"/>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主要检查八大部位，包括：肝脏（含肝內胆管、肝门静脉）、胆囊（含胆总管）、肾脏、、胰腺、脾脏。对人体内脏器官（肝、胆、脾、胰、肾）和各种病变（如肿瘤、结石、积水等）提供高清晰度的动态超声断层图像诊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0" w:hRule="atLeast"/>
        </w:trPr>
        <w:tc>
          <w:tcPr>
            <w:tcW w:w="1240" w:type="dxa"/>
            <w:vMerge w:val="continue"/>
            <w:vAlign w:val="center"/>
          </w:tcPr>
          <w:p>
            <w:pPr>
              <w:widowControl/>
              <w:jc w:val="left"/>
              <w:rPr>
                <w:rFonts w:ascii="宋体" w:hAnsi="宋体" w:eastAsia="宋体" w:cs="宋体"/>
                <w:kern w:val="0"/>
                <w:sz w:val="20"/>
                <w:szCs w:val="20"/>
              </w:rPr>
            </w:pPr>
          </w:p>
        </w:tc>
        <w:tc>
          <w:tcPr>
            <w:tcW w:w="2280" w:type="dxa"/>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前列腺彩超</w:t>
            </w:r>
          </w:p>
        </w:tc>
        <w:tc>
          <w:tcPr>
            <w:tcW w:w="600" w:type="dxa"/>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w:t>
            </w:r>
          </w:p>
        </w:tc>
        <w:tc>
          <w:tcPr>
            <w:tcW w:w="600" w:type="dxa"/>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　</w:t>
            </w:r>
          </w:p>
        </w:tc>
        <w:tc>
          <w:tcPr>
            <w:tcW w:w="600" w:type="dxa"/>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　</w:t>
            </w:r>
          </w:p>
        </w:tc>
        <w:tc>
          <w:tcPr>
            <w:tcW w:w="4935" w:type="dxa"/>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超声检查能较好的显示前列腺的形态、大小，对于前列腺增生、肥大、钙化等疾病具有意义。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20" w:hRule="atLeast"/>
        </w:trPr>
        <w:tc>
          <w:tcPr>
            <w:tcW w:w="1240" w:type="dxa"/>
            <w:vMerge w:val="continue"/>
            <w:vAlign w:val="center"/>
          </w:tcPr>
          <w:p>
            <w:pPr>
              <w:widowControl/>
              <w:jc w:val="left"/>
              <w:rPr>
                <w:rFonts w:ascii="宋体" w:hAnsi="宋体" w:eastAsia="宋体" w:cs="宋体"/>
                <w:kern w:val="0"/>
                <w:sz w:val="20"/>
                <w:szCs w:val="20"/>
              </w:rPr>
            </w:pPr>
          </w:p>
        </w:tc>
        <w:tc>
          <w:tcPr>
            <w:tcW w:w="2280" w:type="dxa"/>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乳腺彩超</w:t>
            </w:r>
          </w:p>
        </w:tc>
        <w:tc>
          <w:tcPr>
            <w:tcW w:w="600" w:type="dxa"/>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　</w:t>
            </w:r>
          </w:p>
        </w:tc>
        <w:tc>
          <w:tcPr>
            <w:tcW w:w="600" w:type="dxa"/>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w:t>
            </w:r>
          </w:p>
        </w:tc>
        <w:tc>
          <w:tcPr>
            <w:tcW w:w="600" w:type="dxa"/>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w:t>
            </w:r>
          </w:p>
        </w:tc>
        <w:tc>
          <w:tcPr>
            <w:tcW w:w="4935" w:type="dxa"/>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采用B超探头检查乳腺囊性增生、乳腺囊肿、纤维腺瘤、乳腺癌、乳腺炎症及脓肿等乳腺病变，可进行乳腺癌的普查。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0" w:hRule="atLeast"/>
        </w:trPr>
        <w:tc>
          <w:tcPr>
            <w:tcW w:w="1240" w:type="dxa"/>
            <w:vMerge w:val="continue"/>
            <w:vAlign w:val="center"/>
          </w:tcPr>
          <w:p>
            <w:pPr>
              <w:widowControl/>
              <w:jc w:val="left"/>
              <w:rPr>
                <w:rFonts w:ascii="宋体" w:hAnsi="宋体" w:eastAsia="宋体" w:cs="宋体"/>
                <w:kern w:val="0"/>
                <w:sz w:val="20"/>
                <w:szCs w:val="20"/>
              </w:rPr>
            </w:pPr>
          </w:p>
        </w:tc>
        <w:tc>
          <w:tcPr>
            <w:tcW w:w="2280" w:type="dxa"/>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子宫及附件彩超</w:t>
            </w:r>
          </w:p>
        </w:tc>
        <w:tc>
          <w:tcPr>
            <w:tcW w:w="600" w:type="dxa"/>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　</w:t>
            </w:r>
          </w:p>
        </w:tc>
        <w:tc>
          <w:tcPr>
            <w:tcW w:w="600" w:type="dxa"/>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w:t>
            </w:r>
          </w:p>
        </w:tc>
        <w:tc>
          <w:tcPr>
            <w:tcW w:w="600" w:type="dxa"/>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w:t>
            </w:r>
          </w:p>
        </w:tc>
        <w:tc>
          <w:tcPr>
            <w:tcW w:w="4935" w:type="dxa"/>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可以清晰显示女性内生殖器的切面图象，现已成为妇科疾病的重要诊断技术之一。B超能够探查子宫、输卵管、卵巢等部位的病变。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20" w:hRule="atLeast"/>
        </w:trPr>
        <w:tc>
          <w:tcPr>
            <w:tcW w:w="1240" w:type="dxa"/>
            <w:vMerge w:val="continue"/>
            <w:vAlign w:val="center"/>
          </w:tcPr>
          <w:p>
            <w:pPr>
              <w:widowControl/>
              <w:jc w:val="left"/>
              <w:rPr>
                <w:rFonts w:ascii="宋体" w:hAnsi="宋体" w:eastAsia="宋体" w:cs="宋体"/>
                <w:kern w:val="0"/>
                <w:sz w:val="20"/>
                <w:szCs w:val="20"/>
              </w:rPr>
            </w:pPr>
          </w:p>
        </w:tc>
        <w:tc>
          <w:tcPr>
            <w:tcW w:w="2280" w:type="dxa"/>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颈动脉彩超</w:t>
            </w:r>
          </w:p>
        </w:tc>
        <w:tc>
          <w:tcPr>
            <w:tcW w:w="600" w:type="dxa"/>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w:t>
            </w:r>
          </w:p>
        </w:tc>
        <w:tc>
          <w:tcPr>
            <w:tcW w:w="600" w:type="dxa"/>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w:t>
            </w:r>
          </w:p>
        </w:tc>
        <w:tc>
          <w:tcPr>
            <w:tcW w:w="600" w:type="dxa"/>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w:t>
            </w:r>
          </w:p>
        </w:tc>
        <w:tc>
          <w:tcPr>
            <w:tcW w:w="4935" w:type="dxa"/>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使用彩色多普勒高密度复合探头检测颈动脉内中膜厚度及血流速度，反映头颈部的血流灌注及有无动脉硬化，为临床诊断提供了丰富的血流灌注信息。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60" w:hRule="atLeast"/>
        </w:trPr>
        <w:tc>
          <w:tcPr>
            <w:tcW w:w="1240" w:type="dxa"/>
            <w:vMerge w:val="continue"/>
            <w:vAlign w:val="center"/>
          </w:tcPr>
          <w:p>
            <w:pPr>
              <w:widowControl/>
              <w:jc w:val="left"/>
              <w:rPr>
                <w:rFonts w:ascii="宋体" w:hAnsi="宋体" w:eastAsia="宋体" w:cs="宋体"/>
                <w:kern w:val="0"/>
                <w:sz w:val="20"/>
                <w:szCs w:val="20"/>
              </w:rPr>
            </w:pPr>
          </w:p>
        </w:tc>
        <w:tc>
          <w:tcPr>
            <w:tcW w:w="2280" w:type="dxa"/>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心脏彩超</w:t>
            </w:r>
          </w:p>
        </w:tc>
        <w:tc>
          <w:tcPr>
            <w:tcW w:w="600" w:type="dxa"/>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w:t>
            </w:r>
          </w:p>
        </w:tc>
        <w:tc>
          <w:tcPr>
            <w:tcW w:w="600" w:type="dxa"/>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w:t>
            </w:r>
          </w:p>
        </w:tc>
        <w:tc>
          <w:tcPr>
            <w:tcW w:w="600" w:type="dxa"/>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w:t>
            </w:r>
          </w:p>
        </w:tc>
        <w:tc>
          <w:tcPr>
            <w:tcW w:w="4935" w:type="dxa"/>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使用彩色多普勒高密度复合探头检查心脏内部结构和血流变化，对明确诊断先天性心脏病、心瓣膜病等器质性心脏疾病及心功能有重要的意义，是心血管疾病的重要诊断方法。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60" w:hRule="atLeast"/>
        </w:trPr>
        <w:tc>
          <w:tcPr>
            <w:tcW w:w="1240" w:type="dxa"/>
            <w:vMerge w:val="continue"/>
            <w:vAlign w:val="center"/>
          </w:tcPr>
          <w:p>
            <w:pPr>
              <w:widowControl/>
              <w:jc w:val="left"/>
              <w:rPr>
                <w:rFonts w:ascii="宋体" w:hAnsi="宋体" w:eastAsia="宋体" w:cs="宋体"/>
                <w:kern w:val="0"/>
                <w:sz w:val="20"/>
                <w:szCs w:val="20"/>
              </w:rPr>
            </w:pPr>
          </w:p>
        </w:tc>
        <w:tc>
          <w:tcPr>
            <w:tcW w:w="2280" w:type="dxa"/>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甲状腺彩超</w:t>
            </w:r>
          </w:p>
        </w:tc>
        <w:tc>
          <w:tcPr>
            <w:tcW w:w="600" w:type="dxa"/>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w:t>
            </w:r>
          </w:p>
        </w:tc>
        <w:tc>
          <w:tcPr>
            <w:tcW w:w="600" w:type="dxa"/>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w:t>
            </w:r>
          </w:p>
        </w:tc>
        <w:tc>
          <w:tcPr>
            <w:tcW w:w="600" w:type="dxa"/>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w:t>
            </w:r>
          </w:p>
        </w:tc>
        <w:tc>
          <w:tcPr>
            <w:tcW w:w="4935" w:type="dxa"/>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采用B超探头检查甲状腺，清晰显示甲状腺病变，如：甲状旁腺增生、甲状腺囊肿、腺瘤、腺癌、转移癌，以及各种原因引起的甲状腺肿大，为临床治疗提供依据。简便快捷，准确性较高。</w:t>
            </w:r>
          </w:p>
        </w:tc>
      </w:tr>
    </w:tbl>
    <w:p>
      <w:pPr>
        <w:rPr>
          <w:b/>
          <w:sz w:val="24"/>
          <w:szCs w:val="24"/>
          <w:u w:val="single"/>
        </w:rPr>
      </w:pPr>
    </w:p>
    <w:p>
      <w:pPr>
        <w:rPr>
          <w:b/>
          <w:sz w:val="24"/>
          <w:szCs w:val="24"/>
          <w:u w:val="single"/>
        </w:rPr>
      </w:pPr>
    </w:p>
    <w:tbl>
      <w:tblPr>
        <w:tblStyle w:val="5"/>
        <w:tblW w:w="10201" w:type="dxa"/>
        <w:tblInd w:w="250" w:type="dxa"/>
        <w:tblBorders>
          <w:top w:val="single" w:color="auto" w:sz="4" w:space="0"/>
          <w:left w:val="single" w:color="auto" w:sz="4" w:space="0"/>
          <w:bottom w:val="single" w:color="auto" w:sz="4" w:space="0"/>
          <w:right w:val="single" w:color="auto" w:sz="4" w:space="0"/>
          <w:insideH w:val="none" w:color="auto" w:sz="4" w:space="0"/>
          <w:insideV w:val="none" w:color="auto" w:sz="4" w:space="0"/>
        </w:tblBorders>
        <w:tblLayout w:type="fixed"/>
        <w:tblCellMar>
          <w:top w:w="0" w:type="dxa"/>
          <w:left w:w="108" w:type="dxa"/>
          <w:bottom w:w="0" w:type="dxa"/>
          <w:right w:w="108" w:type="dxa"/>
        </w:tblCellMar>
      </w:tblPr>
      <w:tblGrid>
        <w:gridCol w:w="861"/>
        <w:gridCol w:w="1600"/>
        <w:gridCol w:w="640"/>
        <w:gridCol w:w="640"/>
        <w:gridCol w:w="640"/>
        <w:gridCol w:w="5820"/>
      </w:tblGrid>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Layout w:type="fixed"/>
          <w:tblCellMar>
            <w:top w:w="0" w:type="dxa"/>
            <w:left w:w="108" w:type="dxa"/>
            <w:bottom w:w="0" w:type="dxa"/>
            <w:right w:w="108" w:type="dxa"/>
          </w:tblCellMar>
        </w:tblPrEx>
        <w:trPr>
          <w:trHeight w:val="1080" w:hRule="atLeast"/>
        </w:trPr>
        <w:tc>
          <w:tcPr>
            <w:tcW w:w="10201" w:type="dxa"/>
            <w:gridSpan w:val="6"/>
            <w:tcBorders>
              <w:bottom w:val="nil"/>
            </w:tcBorders>
            <w:shd w:val="clear" w:color="auto" w:fill="auto"/>
            <w:vAlign w:val="center"/>
          </w:tcPr>
          <w:p>
            <w:pPr>
              <w:widowControl/>
              <w:jc w:val="center"/>
              <w:rPr>
                <w:rFonts w:ascii="黑体" w:hAnsi="黑体" w:eastAsia="黑体" w:cs="宋体"/>
                <w:b/>
                <w:bCs/>
                <w:color w:val="7030A0"/>
                <w:kern w:val="0"/>
                <w:sz w:val="56"/>
                <w:szCs w:val="56"/>
              </w:rPr>
            </w:pPr>
            <w:r>
              <w:rPr>
                <w:rFonts w:hint="eastAsia" w:ascii="黑体" w:hAnsi="黑体" w:eastAsia="黑体" w:cs="宋体"/>
                <w:b/>
                <w:bCs/>
                <w:color w:val="7030A0"/>
                <w:kern w:val="0"/>
                <w:sz w:val="56"/>
                <w:szCs w:val="56"/>
              </w:rPr>
              <w:t>1</w:t>
            </w:r>
            <w:r>
              <w:rPr>
                <w:rFonts w:hint="eastAsia" w:ascii="黑体" w:hAnsi="黑体" w:eastAsia="黑体" w:cs="宋体"/>
                <w:b/>
                <w:bCs/>
                <w:color w:val="7030A0"/>
                <w:kern w:val="0"/>
                <w:sz w:val="56"/>
                <w:szCs w:val="56"/>
                <w:lang w:val="en-US" w:eastAsia="zh-CN"/>
              </w:rPr>
              <w:t>100</w:t>
            </w:r>
            <w:bookmarkStart w:id="0" w:name="_GoBack"/>
            <w:bookmarkEnd w:id="0"/>
            <w:r>
              <w:rPr>
                <w:rFonts w:hint="eastAsia" w:ascii="黑体" w:hAnsi="黑体" w:eastAsia="黑体" w:cs="宋体"/>
                <w:b/>
                <w:bCs/>
                <w:color w:val="7030A0"/>
                <w:kern w:val="0"/>
                <w:sz w:val="56"/>
                <w:szCs w:val="56"/>
              </w:rPr>
              <w:t>癌筛体检</w:t>
            </w:r>
            <w:r>
              <w:rPr>
                <w:rFonts w:hint="eastAsia" w:ascii="黑体" w:hAnsi="黑体" w:eastAsia="黑体" w:cs="宋体"/>
                <w:b/>
                <w:bCs/>
                <w:color w:val="7030A0"/>
                <w:kern w:val="0"/>
                <w:sz w:val="56"/>
                <w:szCs w:val="56"/>
                <w:lang w:eastAsia="zh-CN"/>
              </w:rPr>
              <w:t>套餐</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Layout w:type="fixed"/>
          <w:tblCellMar>
            <w:top w:w="0" w:type="dxa"/>
            <w:left w:w="108" w:type="dxa"/>
            <w:bottom w:w="0" w:type="dxa"/>
            <w:right w:w="108" w:type="dxa"/>
          </w:tblCellMar>
        </w:tblPrEx>
        <w:trPr>
          <w:trHeight w:val="300" w:hRule="atLeast"/>
        </w:trPr>
        <w:tc>
          <w:tcPr>
            <w:tcW w:w="2461" w:type="dxa"/>
            <w:gridSpan w:val="2"/>
            <w:vMerge w:val="restart"/>
            <w:tcBorders>
              <w:top w:val="single" w:color="auto" w:sz="4" w:space="0"/>
              <w:bottom w:val="single" w:color="auto" w:sz="4" w:space="0"/>
              <w:right w:val="single" w:color="auto" w:sz="4" w:space="0"/>
            </w:tcBorders>
            <w:shd w:val="clear" w:color="000000" w:fill="C0C0C0"/>
            <w:vAlign w:val="center"/>
          </w:tcPr>
          <w:p>
            <w:pPr>
              <w:widowControl/>
              <w:jc w:val="center"/>
              <w:rPr>
                <w:rFonts w:ascii="黑体" w:hAnsi="黑体" w:eastAsia="黑体" w:cs="宋体"/>
                <w:b/>
                <w:bCs/>
                <w:kern w:val="0"/>
                <w:sz w:val="20"/>
                <w:szCs w:val="20"/>
              </w:rPr>
            </w:pPr>
            <w:r>
              <w:rPr>
                <w:rFonts w:hint="eastAsia" w:ascii="黑体" w:hAnsi="黑体" w:eastAsia="黑体" w:cs="宋体"/>
                <w:b/>
                <w:bCs/>
                <w:kern w:val="0"/>
                <w:sz w:val="20"/>
                <w:szCs w:val="20"/>
              </w:rPr>
              <w:t>常规科室</w:t>
            </w:r>
          </w:p>
        </w:tc>
        <w:tc>
          <w:tcPr>
            <w:tcW w:w="640" w:type="dxa"/>
            <w:vMerge w:val="restart"/>
            <w:tcBorders>
              <w:top w:val="single" w:color="auto" w:sz="4" w:space="0"/>
              <w:left w:val="single" w:color="auto" w:sz="4" w:space="0"/>
              <w:bottom w:val="single" w:color="auto" w:sz="4" w:space="0"/>
              <w:right w:val="single" w:color="auto" w:sz="4" w:space="0"/>
            </w:tcBorders>
            <w:shd w:val="clear" w:color="000000" w:fill="C0C0C0"/>
            <w:vAlign w:val="center"/>
          </w:tcPr>
          <w:p>
            <w:pPr>
              <w:widowControl/>
              <w:jc w:val="center"/>
              <w:rPr>
                <w:rFonts w:ascii="黑体" w:hAnsi="黑体" w:eastAsia="黑体" w:cs="宋体"/>
                <w:b/>
                <w:bCs/>
                <w:kern w:val="0"/>
                <w:sz w:val="20"/>
                <w:szCs w:val="20"/>
              </w:rPr>
            </w:pPr>
            <w:r>
              <w:rPr>
                <w:rFonts w:hint="eastAsia" w:ascii="黑体" w:hAnsi="黑体" w:eastAsia="黑体" w:cs="宋体"/>
                <w:b/>
                <w:bCs/>
                <w:kern w:val="0"/>
                <w:sz w:val="20"/>
                <w:szCs w:val="20"/>
              </w:rPr>
              <w:t>男性</w:t>
            </w:r>
          </w:p>
        </w:tc>
        <w:tc>
          <w:tcPr>
            <w:tcW w:w="1280" w:type="dxa"/>
            <w:gridSpan w:val="2"/>
            <w:tcBorders>
              <w:top w:val="single" w:color="auto" w:sz="4" w:space="0"/>
              <w:left w:val="nil"/>
              <w:bottom w:val="single" w:color="auto" w:sz="4" w:space="0"/>
              <w:right w:val="single" w:color="auto" w:sz="4" w:space="0"/>
            </w:tcBorders>
            <w:shd w:val="clear" w:color="000000" w:fill="C0C0C0"/>
            <w:vAlign w:val="center"/>
          </w:tcPr>
          <w:p>
            <w:pPr>
              <w:widowControl/>
              <w:jc w:val="center"/>
              <w:rPr>
                <w:rFonts w:ascii="黑体" w:hAnsi="黑体" w:eastAsia="黑体" w:cs="宋体"/>
                <w:b/>
                <w:bCs/>
                <w:kern w:val="0"/>
                <w:sz w:val="20"/>
                <w:szCs w:val="20"/>
              </w:rPr>
            </w:pPr>
            <w:r>
              <w:rPr>
                <w:rFonts w:hint="eastAsia" w:ascii="黑体" w:hAnsi="黑体" w:eastAsia="黑体" w:cs="宋体"/>
                <w:b/>
                <w:bCs/>
                <w:kern w:val="0"/>
                <w:sz w:val="20"/>
                <w:szCs w:val="20"/>
              </w:rPr>
              <w:t>女性</w:t>
            </w:r>
          </w:p>
        </w:tc>
        <w:tc>
          <w:tcPr>
            <w:tcW w:w="5820" w:type="dxa"/>
            <w:vMerge w:val="restart"/>
            <w:tcBorders>
              <w:top w:val="single" w:color="auto" w:sz="4" w:space="0"/>
              <w:left w:val="single" w:color="auto" w:sz="4" w:space="0"/>
              <w:bottom w:val="single" w:color="auto" w:sz="4" w:space="0"/>
            </w:tcBorders>
            <w:shd w:val="clear" w:color="000000" w:fill="C0C0C0"/>
            <w:vAlign w:val="center"/>
          </w:tcPr>
          <w:p>
            <w:pPr>
              <w:widowControl/>
              <w:jc w:val="center"/>
              <w:rPr>
                <w:rFonts w:ascii="黑体" w:hAnsi="黑体" w:eastAsia="黑体" w:cs="宋体"/>
                <w:b/>
                <w:bCs/>
                <w:kern w:val="0"/>
                <w:sz w:val="20"/>
                <w:szCs w:val="20"/>
              </w:rPr>
            </w:pPr>
            <w:r>
              <w:rPr>
                <w:rFonts w:hint="eastAsia" w:ascii="黑体" w:hAnsi="黑体" w:eastAsia="黑体" w:cs="宋体"/>
                <w:b/>
                <w:bCs/>
                <w:kern w:val="0"/>
                <w:sz w:val="20"/>
                <w:szCs w:val="20"/>
              </w:rPr>
              <w:t>功能意义</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Layout w:type="fixed"/>
          <w:tblCellMar>
            <w:top w:w="0" w:type="dxa"/>
            <w:left w:w="108" w:type="dxa"/>
            <w:bottom w:w="0" w:type="dxa"/>
            <w:right w:w="108" w:type="dxa"/>
          </w:tblCellMar>
        </w:tblPrEx>
        <w:trPr>
          <w:trHeight w:val="300" w:hRule="atLeast"/>
        </w:trPr>
        <w:tc>
          <w:tcPr>
            <w:tcW w:w="2461" w:type="dxa"/>
            <w:gridSpan w:val="2"/>
            <w:vMerge w:val="continue"/>
            <w:tcBorders>
              <w:top w:val="single" w:color="auto" w:sz="4" w:space="0"/>
              <w:bottom w:val="single" w:color="auto" w:sz="4" w:space="0"/>
              <w:right w:val="single" w:color="auto" w:sz="4" w:space="0"/>
            </w:tcBorders>
            <w:vAlign w:val="center"/>
          </w:tcPr>
          <w:p>
            <w:pPr>
              <w:widowControl/>
              <w:jc w:val="left"/>
              <w:rPr>
                <w:rFonts w:ascii="黑体" w:hAnsi="黑体" w:eastAsia="黑体" w:cs="宋体"/>
                <w:b/>
                <w:bCs/>
                <w:kern w:val="0"/>
                <w:sz w:val="20"/>
                <w:szCs w:val="20"/>
              </w:rPr>
            </w:pPr>
          </w:p>
        </w:tc>
        <w:tc>
          <w:tcPr>
            <w:tcW w:w="64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黑体" w:hAnsi="黑体" w:eastAsia="黑体" w:cs="宋体"/>
                <w:b/>
                <w:bCs/>
                <w:kern w:val="0"/>
                <w:sz w:val="20"/>
                <w:szCs w:val="20"/>
              </w:rPr>
            </w:pPr>
          </w:p>
        </w:tc>
        <w:tc>
          <w:tcPr>
            <w:tcW w:w="640" w:type="dxa"/>
            <w:tcBorders>
              <w:top w:val="nil"/>
              <w:left w:val="nil"/>
              <w:bottom w:val="single" w:color="auto" w:sz="4" w:space="0"/>
              <w:right w:val="single" w:color="auto" w:sz="4" w:space="0"/>
            </w:tcBorders>
            <w:shd w:val="clear" w:color="000000" w:fill="C0C0C0"/>
            <w:vAlign w:val="center"/>
          </w:tcPr>
          <w:p>
            <w:pPr>
              <w:widowControl/>
              <w:jc w:val="center"/>
              <w:rPr>
                <w:rFonts w:ascii="黑体" w:hAnsi="黑体" w:eastAsia="黑体" w:cs="宋体"/>
                <w:b/>
                <w:bCs/>
                <w:kern w:val="0"/>
                <w:sz w:val="20"/>
                <w:szCs w:val="20"/>
              </w:rPr>
            </w:pPr>
            <w:r>
              <w:rPr>
                <w:rFonts w:hint="eastAsia" w:ascii="黑体" w:hAnsi="黑体" w:eastAsia="黑体" w:cs="宋体"/>
                <w:b/>
                <w:bCs/>
                <w:kern w:val="0"/>
                <w:sz w:val="20"/>
                <w:szCs w:val="20"/>
              </w:rPr>
              <w:t>未婚</w:t>
            </w:r>
          </w:p>
        </w:tc>
        <w:tc>
          <w:tcPr>
            <w:tcW w:w="640" w:type="dxa"/>
            <w:tcBorders>
              <w:top w:val="nil"/>
              <w:left w:val="nil"/>
              <w:bottom w:val="single" w:color="auto" w:sz="4" w:space="0"/>
              <w:right w:val="single" w:color="auto" w:sz="4" w:space="0"/>
            </w:tcBorders>
            <w:shd w:val="clear" w:color="000000" w:fill="C0C0C0"/>
            <w:vAlign w:val="center"/>
          </w:tcPr>
          <w:p>
            <w:pPr>
              <w:widowControl/>
              <w:jc w:val="center"/>
              <w:rPr>
                <w:rFonts w:ascii="黑体" w:hAnsi="黑体" w:eastAsia="黑体" w:cs="宋体"/>
                <w:b/>
                <w:bCs/>
                <w:kern w:val="0"/>
                <w:sz w:val="20"/>
                <w:szCs w:val="20"/>
              </w:rPr>
            </w:pPr>
            <w:r>
              <w:rPr>
                <w:rFonts w:hint="eastAsia" w:ascii="黑体" w:hAnsi="黑体" w:eastAsia="黑体" w:cs="宋体"/>
                <w:b/>
                <w:bCs/>
                <w:kern w:val="0"/>
                <w:sz w:val="20"/>
                <w:szCs w:val="20"/>
              </w:rPr>
              <w:t>已婚</w:t>
            </w:r>
          </w:p>
        </w:tc>
        <w:tc>
          <w:tcPr>
            <w:tcW w:w="5820" w:type="dxa"/>
            <w:vMerge w:val="continue"/>
            <w:tcBorders>
              <w:top w:val="single" w:color="auto" w:sz="4" w:space="0"/>
              <w:left w:val="single" w:color="auto" w:sz="4" w:space="0"/>
              <w:bottom w:val="single" w:color="auto" w:sz="4" w:space="0"/>
            </w:tcBorders>
            <w:vAlign w:val="center"/>
          </w:tcPr>
          <w:p>
            <w:pPr>
              <w:widowControl/>
              <w:jc w:val="left"/>
              <w:rPr>
                <w:rFonts w:ascii="黑体" w:hAnsi="黑体" w:eastAsia="黑体" w:cs="宋体"/>
                <w:b/>
                <w:bCs/>
                <w:kern w:val="0"/>
                <w:sz w:val="20"/>
                <w:szCs w:val="20"/>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Layout w:type="fixed"/>
          <w:tblCellMar>
            <w:top w:w="0" w:type="dxa"/>
            <w:left w:w="108" w:type="dxa"/>
            <w:bottom w:w="0" w:type="dxa"/>
            <w:right w:w="108" w:type="dxa"/>
          </w:tblCellMar>
        </w:tblPrEx>
        <w:trPr>
          <w:trHeight w:val="285" w:hRule="atLeast"/>
        </w:trPr>
        <w:tc>
          <w:tcPr>
            <w:tcW w:w="861" w:type="dxa"/>
            <w:vMerge w:val="restart"/>
            <w:tcBorders>
              <w:top w:val="nil"/>
              <w:bottom w:val="single" w:color="auto" w:sz="4" w:space="0"/>
              <w:right w:val="single" w:color="auto" w:sz="4" w:space="0"/>
            </w:tcBorders>
            <w:shd w:val="clear" w:color="auto" w:fill="auto"/>
            <w:vAlign w:val="center"/>
          </w:tcPr>
          <w:p>
            <w:pPr>
              <w:widowControl/>
              <w:jc w:val="left"/>
              <w:rPr>
                <w:rFonts w:ascii="黑体" w:hAnsi="黑体" w:eastAsia="黑体" w:cs="宋体"/>
                <w:kern w:val="0"/>
                <w:sz w:val="20"/>
                <w:szCs w:val="20"/>
              </w:rPr>
            </w:pPr>
            <w:r>
              <w:rPr>
                <w:rFonts w:hint="eastAsia" w:ascii="黑体" w:hAnsi="黑体" w:eastAsia="黑体" w:cs="宋体"/>
                <w:kern w:val="0"/>
                <w:sz w:val="20"/>
                <w:szCs w:val="20"/>
              </w:rPr>
              <w:t>一般检查</w:t>
            </w:r>
          </w:p>
        </w:tc>
        <w:tc>
          <w:tcPr>
            <w:tcW w:w="1600" w:type="dxa"/>
            <w:tcBorders>
              <w:top w:val="nil"/>
              <w:left w:val="nil"/>
              <w:bottom w:val="single" w:color="auto" w:sz="4" w:space="0"/>
              <w:right w:val="single" w:color="auto" w:sz="4" w:space="0"/>
            </w:tcBorders>
            <w:shd w:val="clear" w:color="auto" w:fill="auto"/>
            <w:vAlign w:val="center"/>
          </w:tcPr>
          <w:p>
            <w:pPr>
              <w:widowControl/>
              <w:jc w:val="left"/>
              <w:rPr>
                <w:rFonts w:ascii="黑体" w:hAnsi="黑体" w:eastAsia="黑体" w:cs="宋体"/>
                <w:kern w:val="0"/>
                <w:sz w:val="20"/>
                <w:szCs w:val="20"/>
              </w:rPr>
            </w:pPr>
            <w:r>
              <w:rPr>
                <w:rFonts w:hint="eastAsia" w:ascii="黑体" w:hAnsi="黑体" w:eastAsia="黑体" w:cs="宋体"/>
                <w:kern w:val="0"/>
                <w:sz w:val="20"/>
                <w:szCs w:val="20"/>
              </w:rPr>
              <w:t>身高</w:t>
            </w:r>
          </w:p>
        </w:tc>
        <w:tc>
          <w:tcPr>
            <w:tcW w:w="640"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20"/>
                <w:szCs w:val="20"/>
              </w:rPr>
            </w:pPr>
            <w:r>
              <w:rPr>
                <w:rFonts w:hint="eastAsia" w:ascii="黑体" w:hAnsi="黑体" w:eastAsia="黑体" w:cs="宋体"/>
                <w:kern w:val="0"/>
                <w:sz w:val="20"/>
                <w:szCs w:val="20"/>
              </w:rPr>
              <w:t>●</w:t>
            </w:r>
          </w:p>
        </w:tc>
        <w:tc>
          <w:tcPr>
            <w:tcW w:w="640"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20"/>
                <w:szCs w:val="20"/>
              </w:rPr>
            </w:pPr>
            <w:r>
              <w:rPr>
                <w:rFonts w:hint="eastAsia" w:ascii="黑体" w:hAnsi="黑体" w:eastAsia="黑体" w:cs="宋体"/>
                <w:kern w:val="0"/>
                <w:sz w:val="20"/>
                <w:szCs w:val="20"/>
              </w:rPr>
              <w:t>●</w:t>
            </w:r>
          </w:p>
        </w:tc>
        <w:tc>
          <w:tcPr>
            <w:tcW w:w="640"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20"/>
                <w:szCs w:val="20"/>
              </w:rPr>
            </w:pPr>
            <w:r>
              <w:rPr>
                <w:rFonts w:hint="eastAsia" w:ascii="黑体" w:hAnsi="黑体" w:eastAsia="黑体" w:cs="宋体"/>
                <w:kern w:val="0"/>
                <w:sz w:val="20"/>
                <w:szCs w:val="20"/>
              </w:rPr>
              <w:t>●</w:t>
            </w:r>
          </w:p>
        </w:tc>
        <w:tc>
          <w:tcPr>
            <w:tcW w:w="5820" w:type="dxa"/>
            <w:vMerge w:val="restart"/>
            <w:tcBorders>
              <w:top w:val="nil"/>
              <w:left w:val="single" w:color="auto" w:sz="4" w:space="0"/>
              <w:bottom w:val="single" w:color="auto" w:sz="4" w:space="0"/>
            </w:tcBorders>
            <w:shd w:val="clear" w:color="auto" w:fill="auto"/>
            <w:vAlign w:val="center"/>
          </w:tcPr>
          <w:p>
            <w:pPr>
              <w:widowControl/>
              <w:jc w:val="left"/>
              <w:rPr>
                <w:rFonts w:ascii="黑体" w:hAnsi="黑体" w:eastAsia="黑体" w:cs="宋体"/>
                <w:kern w:val="0"/>
                <w:sz w:val="20"/>
                <w:szCs w:val="20"/>
              </w:rPr>
            </w:pPr>
            <w:r>
              <w:rPr>
                <w:rFonts w:hint="eastAsia" w:ascii="黑体" w:hAnsi="黑体" w:eastAsia="黑体" w:cs="宋体"/>
                <w:kern w:val="0"/>
                <w:sz w:val="20"/>
                <w:szCs w:val="20"/>
              </w:rPr>
              <w:t>了解有无血压、脉搏的异常；用身高体重来计算体重指数了解有无超重或肥胖情况。</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Layout w:type="fixed"/>
          <w:tblCellMar>
            <w:top w:w="0" w:type="dxa"/>
            <w:left w:w="108" w:type="dxa"/>
            <w:bottom w:w="0" w:type="dxa"/>
            <w:right w:w="108" w:type="dxa"/>
          </w:tblCellMar>
        </w:tblPrEx>
        <w:trPr>
          <w:trHeight w:val="300" w:hRule="atLeast"/>
        </w:trPr>
        <w:tc>
          <w:tcPr>
            <w:tcW w:w="861" w:type="dxa"/>
            <w:vMerge w:val="continue"/>
            <w:tcBorders>
              <w:top w:val="nil"/>
              <w:bottom w:val="single" w:color="auto" w:sz="4" w:space="0"/>
              <w:right w:val="single" w:color="auto" w:sz="4" w:space="0"/>
            </w:tcBorders>
            <w:vAlign w:val="center"/>
          </w:tcPr>
          <w:p>
            <w:pPr>
              <w:widowControl/>
              <w:jc w:val="left"/>
              <w:rPr>
                <w:rFonts w:ascii="黑体" w:hAnsi="黑体" w:eastAsia="黑体" w:cs="宋体"/>
                <w:kern w:val="0"/>
                <w:sz w:val="20"/>
                <w:szCs w:val="20"/>
              </w:rPr>
            </w:pPr>
          </w:p>
        </w:tc>
        <w:tc>
          <w:tcPr>
            <w:tcW w:w="1600" w:type="dxa"/>
            <w:tcBorders>
              <w:top w:val="nil"/>
              <w:left w:val="nil"/>
              <w:bottom w:val="single" w:color="auto" w:sz="4" w:space="0"/>
              <w:right w:val="single" w:color="auto" w:sz="4" w:space="0"/>
            </w:tcBorders>
            <w:shd w:val="clear" w:color="auto" w:fill="auto"/>
            <w:vAlign w:val="center"/>
          </w:tcPr>
          <w:p>
            <w:pPr>
              <w:widowControl/>
              <w:jc w:val="left"/>
              <w:rPr>
                <w:rFonts w:ascii="黑体" w:hAnsi="黑体" w:eastAsia="黑体" w:cs="宋体"/>
                <w:kern w:val="0"/>
                <w:sz w:val="20"/>
                <w:szCs w:val="20"/>
              </w:rPr>
            </w:pPr>
            <w:r>
              <w:rPr>
                <w:rFonts w:hint="eastAsia" w:ascii="黑体" w:hAnsi="黑体" w:eastAsia="黑体" w:cs="宋体"/>
                <w:kern w:val="0"/>
                <w:sz w:val="20"/>
                <w:szCs w:val="20"/>
              </w:rPr>
              <w:t>体重</w:t>
            </w:r>
          </w:p>
        </w:tc>
        <w:tc>
          <w:tcPr>
            <w:tcW w:w="640" w:type="dxa"/>
            <w:vMerge w:val="continue"/>
            <w:tcBorders>
              <w:top w:val="nil"/>
              <w:left w:val="single" w:color="auto" w:sz="4" w:space="0"/>
              <w:bottom w:val="single" w:color="auto" w:sz="4" w:space="0"/>
              <w:right w:val="single" w:color="auto" w:sz="4" w:space="0"/>
            </w:tcBorders>
            <w:vAlign w:val="center"/>
          </w:tcPr>
          <w:p>
            <w:pPr>
              <w:widowControl/>
              <w:jc w:val="left"/>
              <w:rPr>
                <w:rFonts w:ascii="黑体" w:hAnsi="黑体" w:eastAsia="黑体" w:cs="宋体"/>
                <w:kern w:val="0"/>
                <w:sz w:val="20"/>
                <w:szCs w:val="20"/>
              </w:rPr>
            </w:pPr>
          </w:p>
        </w:tc>
        <w:tc>
          <w:tcPr>
            <w:tcW w:w="640" w:type="dxa"/>
            <w:vMerge w:val="continue"/>
            <w:tcBorders>
              <w:top w:val="nil"/>
              <w:left w:val="single" w:color="auto" w:sz="4" w:space="0"/>
              <w:bottom w:val="single" w:color="auto" w:sz="4" w:space="0"/>
              <w:right w:val="single" w:color="auto" w:sz="4" w:space="0"/>
            </w:tcBorders>
            <w:vAlign w:val="center"/>
          </w:tcPr>
          <w:p>
            <w:pPr>
              <w:widowControl/>
              <w:jc w:val="left"/>
              <w:rPr>
                <w:rFonts w:ascii="黑体" w:hAnsi="黑体" w:eastAsia="黑体" w:cs="宋体"/>
                <w:kern w:val="0"/>
                <w:sz w:val="20"/>
                <w:szCs w:val="20"/>
              </w:rPr>
            </w:pPr>
          </w:p>
        </w:tc>
        <w:tc>
          <w:tcPr>
            <w:tcW w:w="640" w:type="dxa"/>
            <w:vMerge w:val="continue"/>
            <w:tcBorders>
              <w:top w:val="nil"/>
              <w:left w:val="single" w:color="auto" w:sz="4" w:space="0"/>
              <w:bottom w:val="single" w:color="auto" w:sz="4" w:space="0"/>
              <w:right w:val="single" w:color="auto" w:sz="4" w:space="0"/>
            </w:tcBorders>
            <w:vAlign w:val="center"/>
          </w:tcPr>
          <w:p>
            <w:pPr>
              <w:widowControl/>
              <w:jc w:val="left"/>
              <w:rPr>
                <w:rFonts w:ascii="黑体" w:hAnsi="黑体" w:eastAsia="黑体" w:cs="宋体"/>
                <w:kern w:val="0"/>
                <w:sz w:val="20"/>
                <w:szCs w:val="20"/>
              </w:rPr>
            </w:pPr>
          </w:p>
        </w:tc>
        <w:tc>
          <w:tcPr>
            <w:tcW w:w="5820" w:type="dxa"/>
            <w:vMerge w:val="continue"/>
            <w:tcBorders>
              <w:top w:val="nil"/>
              <w:left w:val="single" w:color="auto" w:sz="4" w:space="0"/>
              <w:bottom w:val="single" w:color="auto" w:sz="4" w:space="0"/>
            </w:tcBorders>
            <w:vAlign w:val="center"/>
          </w:tcPr>
          <w:p>
            <w:pPr>
              <w:widowControl/>
              <w:jc w:val="left"/>
              <w:rPr>
                <w:rFonts w:ascii="黑体" w:hAnsi="黑体" w:eastAsia="黑体" w:cs="宋体"/>
                <w:kern w:val="0"/>
                <w:sz w:val="20"/>
                <w:szCs w:val="20"/>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Layout w:type="fixed"/>
        </w:tblPrEx>
        <w:trPr>
          <w:trHeight w:val="300" w:hRule="atLeast"/>
        </w:trPr>
        <w:tc>
          <w:tcPr>
            <w:tcW w:w="861" w:type="dxa"/>
            <w:vMerge w:val="continue"/>
            <w:tcBorders>
              <w:top w:val="nil"/>
              <w:bottom w:val="single" w:color="auto" w:sz="4" w:space="0"/>
              <w:right w:val="single" w:color="auto" w:sz="4" w:space="0"/>
            </w:tcBorders>
            <w:vAlign w:val="center"/>
          </w:tcPr>
          <w:p>
            <w:pPr>
              <w:widowControl/>
              <w:jc w:val="left"/>
              <w:rPr>
                <w:rFonts w:ascii="黑体" w:hAnsi="黑体" w:eastAsia="黑体" w:cs="宋体"/>
                <w:kern w:val="0"/>
                <w:sz w:val="20"/>
                <w:szCs w:val="20"/>
              </w:rPr>
            </w:pPr>
          </w:p>
        </w:tc>
        <w:tc>
          <w:tcPr>
            <w:tcW w:w="1600" w:type="dxa"/>
            <w:tcBorders>
              <w:top w:val="nil"/>
              <w:left w:val="nil"/>
              <w:bottom w:val="single" w:color="auto" w:sz="4" w:space="0"/>
              <w:right w:val="single" w:color="auto" w:sz="4" w:space="0"/>
            </w:tcBorders>
            <w:shd w:val="clear" w:color="auto" w:fill="auto"/>
            <w:vAlign w:val="center"/>
          </w:tcPr>
          <w:p>
            <w:pPr>
              <w:widowControl/>
              <w:jc w:val="left"/>
              <w:rPr>
                <w:rFonts w:ascii="黑体" w:hAnsi="黑体" w:eastAsia="黑体" w:cs="宋体"/>
                <w:kern w:val="0"/>
                <w:sz w:val="20"/>
                <w:szCs w:val="20"/>
              </w:rPr>
            </w:pPr>
            <w:r>
              <w:rPr>
                <w:rFonts w:hint="eastAsia" w:ascii="黑体" w:hAnsi="黑体" w:eastAsia="黑体" w:cs="宋体"/>
                <w:kern w:val="0"/>
                <w:sz w:val="20"/>
                <w:szCs w:val="20"/>
              </w:rPr>
              <w:t>血压</w:t>
            </w:r>
          </w:p>
        </w:tc>
        <w:tc>
          <w:tcPr>
            <w:tcW w:w="640" w:type="dxa"/>
            <w:vMerge w:val="continue"/>
            <w:tcBorders>
              <w:top w:val="nil"/>
              <w:left w:val="single" w:color="auto" w:sz="4" w:space="0"/>
              <w:bottom w:val="single" w:color="auto" w:sz="4" w:space="0"/>
              <w:right w:val="single" w:color="auto" w:sz="4" w:space="0"/>
            </w:tcBorders>
            <w:vAlign w:val="center"/>
          </w:tcPr>
          <w:p>
            <w:pPr>
              <w:widowControl/>
              <w:jc w:val="left"/>
              <w:rPr>
                <w:rFonts w:ascii="黑体" w:hAnsi="黑体" w:eastAsia="黑体" w:cs="宋体"/>
                <w:kern w:val="0"/>
                <w:sz w:val="20"/>
                <w:szCs w:val="20"/>
              </w:rPr>
            </w:pPr>
          </w:p>
        </w:tc>
        <w:tc>
          <w:tcPr>
            <w:tcW w:w="640" w:type="dxa"/>
            <w:vMerge w:val="continue"/>
            <w:tcBorders>
              <w:top w:val="nil"/>
              <w:left w:val="single" w:color="auto" w:sz="4" w:space="0"/>
              <w:bottom w:val="single" w:color="auto" w:sz="4" w:space="0"/>
              <w:right w:val="single" w:color="auto" w:sz="4" w:space="0"/>
            </w:tcBorders>
            <w:vAlign w:val="center"/>
          </w:tcPr>
          <w:p>
            <w:pPr>
              <w:widowControl/>
              <w:jc w:val="left"/>
              <w:rPr>
                <w:rFonts w:ascii="黑体" w:hAnsi="黑体" w:eastAsia="黑体" w:cs="宋体"/>
                <w:kern w:val="0"/>
                <w:sz w:val="20"/>
                <w:szCs w:val="20"/>
              </w:rPr>
            </w:pPr>
          </w:p>
        </w:tc>
        <w:tc>
          <w:tcPr>
            <w:tcW w:w="640" w:type="dxa"/>
            <w:vMerge w:val="continue"/>
            <w:tcBorders>
              <w:top w:val="nil"/>
              <w:left w:val="single" w:color="auto" w:sz="4" w:space="0"/>
              <w:bottom w:val="single" w:color="auto" w:sz="4" w:space="0"/>
              <w:right w:val="single" w:color="auto" w:sz="4" w:space="0"/>
            </w:tcBorders>
            <w:vAlign w:val="center"/>
          </w:tcPr>
          <w:p>
            <w:pPr>
              <w:widowControl/>
              <w:jc w:val="left"/>
              <w:rPr>
                <w:rFonts w:ascii="黑体" w:hAnsi="黑体" w:eastAsia="黑体" w:cs="宋体"/>
                <w:kern w:val="0"/>
                <w:sz w:val="20"/>
                <w:szCs w:val="20"/>
              </w:rPr>
            </w:pPr>
          </w:p>
        </w:tc>
        <w:tc>
          <w:tcPr>
            <w:tcW w:w="5820" w:type="dxa"/>
            <w:vMerge w:val="continue"/>
            <w:tcBorders>
              <w:top w:val="nil"/>
              <w:left w:val="single" w:color="auto" w:sz="4" w:space="0"/>
              <w:bottom w:val="single" w:color="auto" w:sz="4" w:space="0"/>
            </w:tcBorders>
            <w:vAlign w:val="center"/>
          </w:tcPr>
          <w:p>
            <w:pPr>
              <w:widowControl/>
              <w:jc w:val="left"/>
              <w:rPr>
                <w:rFonts w:ascii="黑体" w:hAnsi="黑体" w:eastAsia="黑体" w:cs="宋体"/>
                <w:kern w:val="0"/>
                <w:sz w:val="20"/>
                <w:szCs w:val="20"/>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Layout w:type="fixed"/>
          <w:tblCellMar>
            <w:top w:w="0" w:type="dxa"/>
            <w:left w:w="108" w:type="dxa"/>
            <w:bottom w:w="0" w:type="dxa"/>
            <w:right w:w="108" w:type="dxa"/>
          </w:tblCellMar>
        </w:tblPrEx>
        <w:trPr>
          <w:trHeight w:val="282" w:hRule="atLeast"/>
        </w:trPr>
        <w:tc>
          <w:tcPr>
            <w:tcW w:w="861" w:type="dxa"/>
            <w:vMerge w:val="continue"/>
            <w:tcBorders>
              <w:top w:val="nil"/>
              <w:bottom w:val="single" w:color="auto" w:sz="4" w:space="0"/>
              <w:right w:val="single" w:color="auto" w:sz="4" w:space="0"/>
            </w:tcBorders>
            <w:vAlign w:val="center"/>
          </w:tcPr>
          <w:p>
            <w:pPr>
              <w:widowControl/>
              <w:jc w:val="left"/>
              <w:rPr>
                <w:rFonts w:ascii="黑体" w:hAnsi="黑体" w:eastAsia="黑体" w:cs="宋体"/>
                <w:kern w:val="0"/>
                <w:sz w:val="20"/>
                <w:szCs w:val="20"/>
              </w:rPr>
            </w:pPr>
          </w:p>
        </w:tc>
        <w:tc>
          <w:tcPr>
            <w:tcW w:w="1600" w:type="dxa"/>
            <w:tcBorders>
              <w:top w:val="nil"/>
              <w:left w:val="nil"/>
              <w:bottom w:val="single" w:color="auto" w:sz="4" w:space="0"/>
              <w:right w:val="single" w:color="auto" w:sz="4" w:space="0"/>
            </w:tcBorders>
            <w:shd w:val="clear" w:color="auto" w:fill="auto"/>
            <w:vAlign w:val="center"/>
          </w:tcPr>
          <w:p>
            <w:pPr>
              <w:widowControl/>
              <w:jc w:val="left"/>
              <w:rPr>
                <w:rFonts w:ascii="黑体" w:hAnsi="黑体" w:eastAsia="黑体" w:cs="宋体"/>
                <w:kern w:val="0"/>
                <w:sz w:val="20"/>
                <w:szCs w:val="20"/>
              </w:rPr>
            </w:pPr>
            <w:r>
              <w:rPr>
                <w:rFonts w:hint="eastAsia" w:ascii="黑体" w:hAnsi="黑体" w:eastAsia="黑体" w:cs="宋体"/>
                <w:kern w:val="0"/>
                <w:sz w:val="20"/>
                <w:szCs w:val="20"/>
              </w:rPr>
              <w:t>脉搏</w:t>
            </w:r>
          </w:p>
        </w:tc>
        <w:tc>
          <w:tcPr>
            <w:tcW w:w="640" w:type="dxa"/>
            <w:vMerge w:val="continue"/>
            <w:tcBorders>
              <w:top w:val="nil"/>
              <w:left w:val="single" w:color="auto" w:sz="4" w:space="0"/>
              <w:bottom w:val="single" w:color="auto" w:sz="4" w:space="0"/>
              <w:right w:val="single" w:color="auto" w:sz="4" w:space="0"/>
            </w:tcBorders>
            <w:vAlign w:val="center"/>
          </w:tcPr>
          <w:p>
            <w:pPr>
              <w:widowControl/>
              <w:jc w:val="left"/>
              <w:rPr>
                <w:rFonts w:ascii="黑体" w:hAnsi="黑体" w:eastAsia="黑体" w:cs="宋体"/>
                <w:kern w:val="0"/>
                <w:sz w:val="20"/>
                <w:szCs w:val="20"/>
              </w:rPr>
            </w:pPr>
          </w:p>
        </w:tc>
        <w:tc>
          <w:tcPr>
            <w:tcW w:w="640" w:type="dxa"/>
            <w:vMerge w:val="continue"/>
            <w:tcBorders>
              <w:top w:val="nil"/>
              <w:left w:val="single" w:color="auto" w:sz="4" w:space="0"/>
              <w:bottom w:val="single" w:color="auto" w:sz="4" w:space="0"/>
              <w:right w:val="single" w:color="auto" w:sz="4" w:space="0"/>
            </w:tcBorders>
            <w:vAlign w:val="center"/>
          </w:tcPr>
          <w:p>
            <w:pPr>
              <w:widowControl/>
              <w:jc w:val="left"/>
              <w:rPr>
                <w:rFonts w:ascii="黑体" w:hAnsi="黑体" w:eastAsia="黑体" w:cs="宋体"/>
                <w:kern w:val="0"/>
                <w:sz w:val="20"/>
                <w:szCs w:val="20"/>
              </w:rPr>
            </w:pPr>
          </w:p>
        </w:tc>
        <w:tc>
          <w:tcPr>
            <w:tcW w:w="640" w:type="dxa"/>
            <w:vMerge w:val="continue"/>
            <w:tcBorders>
              <w:top w:val="nil"/>
              <w:left w:val="single" w:color="auto" w:sz="4" w:space="0"/>
              <w:bottom w:val="single" w:color="auto" w:sz="4" w:space="0"/>
              <w:right w:val="single" w:color="auto" w:sz="4" w:space="0"/>
            </w:tcBorders>
            <w:vAlign w:val="center"/>
          </w:tcPr>
          <w:p>
            <w:pPr>
              <w:widowControl/>
              <w:jc w:val="left"/>
              <w:rPr>
                <w:rFonts w:ascii="黑体" w:hAnsi="黑体" w:eastAsia="黑体" w:cs="宋体"/>
                <w:kern w:val="0"/>
                <w:sz w:val="20"/>
                <w:szCs w:val="20"/>
              </w:rPr>
            </w:pPr>
          </w:p>
        </w:tc>
        <w:tc>
          <w:tcPr>
            <w:tcW w:w="5820" w:type="dxa"/>
            <w:vMerge w:val="continue"/>
            <w:tcBorders>
              <w:top w:val="nil"/>
              <w:left w:val="single" w:color="auto" w:sz="4" w:space="0"/>
              <w:bottom w:val="single" w:color="auto" w:sz="4" w:space="0"/>
            </w:tcBorders>
            <w:vAlign w:val="center"/>
          </w:tcPr>
          <w:p>
            <w:pPr>
              <w:widowControl/>
              <w:jc w:val="left"/>
              <w:rPr>
                <w:rFonts w:ascii="黑体" w:hAnsi="黑体" w:eastAsia="黑体" w:cs="宋体"/>
                <w:kern w:val="0"/>
                <w:sz w:val="20"/>
                <w:szCs w:val="20"/>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Layout w:type="fixed"/>
          <w:tblCellMar>
            <w:top w:w="0" w:type="dxa"/>
            <w:left w:w="108" w:type="dxa"/>
            <w:bottom w:w="0" w:type="dxa"/>
            <w:right w:w="108" w:type="dxa"/>
          </w:tblCellMar>
        </w:tblPrEx>
        <w:trPr>
          <w:trHeight w:val="285" w:hRule="atLeast"/>
        </w:trPr>
        <w:tc>
          <w:tcPr>
            <w:tcW w:w="861" w:type="dxa"/>
            <w:vMerge w:val="continue"/>
            <w:tcBorders>
              <w:top w:val="nil"/>
              <w:bottom w:val="single" w:color="auto" w:sz="4" w:space="0"/>
              <w:right w:val="single" w:color="auto" w:sz="4" w:space="0"/>
            </w:tcBorders>
            <w:vAlign w:val="center"/>
          </w:tcPr>
          <w:p>
            <w:pPr>
              <w:widowControl/>
              <w:jc w:val="left"/>
              <w:rPr>
                <w:rFonts w:ascii="黑体" w:hAnsi="黑体" w:eastAsia="黑体" w:cs="宋体"/>
                <w:kern w:val="0"/>
                <w:sz w:val="20"/>
                <w:szCs w:val="20"/>
              </w:rPr>
            </w:pPr>
          </w:p>
        </w:tc>
        <w:tc>
          <w:tcPr>
            <w:tcW w:w="1600" w:type="dxa"/>
            <w:tcBorders>
              <w:top w:val="nil"/>
              <w:left w:val="nil"/>
              <w:bottom w:val="single" w:color="auto" w:sz="4" w:space="0"/>
              <w:right w:val="single" w:color="auto" w:sz="4" w:space="0"/>
            </w:tcBorders>
            <w:shd w:val="clear" w:color="auto" w:fill="auto"/>
            <w:vAlign w:val="center"/>
          </w:tcPr>
          <w:p>
            <w:pPr>
              <w:widowControl/>
              <w:jc w:val="left"/>
              <w:rPr>
                <w:rFonts w:ascii="黑体" w:hAnsi="黑体" w:eastAsia="黑体" w:cs="宋体"/>
                <w:kern w:val="0"/>
                <w:sz w:val="20"/>
                <w:szCs w:val="20"/>
              </w:rPr>
            </w:pPr>
            <w:r>
              <w:rPr>
                <w:rFonts w:hint="eastAsia" w:ascii="黑体" w:hAnsi="黑体" w:eastAsia="黑体" w:cs="宋体"/>
                <w:kern w:val="0"/>
                <w:sz w:val="20"/>
                <w:szCs w:val="20"/>
              </w:rPr>
              <w:t>体重指数</w:t>
            </w:r>
          </w:p>
        </w:tc>
        <w:tc>
          <w:tcPr>
            <w:tcW w:w="640" w:type="dxa"/>
            <w:vMerge w:val="continue"/>
            <w:tcBorders>
              <w:top w:val="nil"/>
              <w:left w:val="single" w:color="auto" w:sz="4" w:space="0"/>
              <w:bottom w:val="single" w:color="auto" w:sz="4" w:space="0"/>
              <w:right w:val="single" w:color="auto" w:sz="4" w:space="0"/>
            </w:tcBorders>
            <w:vAlign w:val="center"/>
          </w:tcPr>
          <w:p>
            <w:pPr>
              <w:widowControl/>
              <w:jc w:val="left"/>
              <w:rPr>
                <w:rFonts w:ascii="黑体" w:hAnsi="黑体" w:eastAsia="黑体" w:cs="宋体"/>
                <w:kern w:val="0"/>
                <w:sz w:val="20"/>
                <w:szCs w:val="20"/>
              </w:rPr>
            </w:pPr>
          </w:p>
        </w:tc>
        <w:tc>
          <w:tcPr>
            <w:tcW w:w="640" w:type="dxa"/>
            <w:vMerge w:val="continue"/>
            <w:tcBorders>
              <w:top w:val="nil"/>
              <w:left w:val="single" w:color="auto" w:sz="4" w:space="0"/>
              <w:bottom w:val="single" w:color="auto" w:sz="4" w:space="0"/>
              <w:right w:val="single" w:color="auto" w:sz="4" w:space="0"/>
            </w:tcBorders>
            <w:vAlign w:val="center"/>
          </w:tcPr>
          <w:p>
            <w:pPr>
              <w:widowControl/>
              <w:jc w:val="left"/>
              <w:rPr>
                <w:rFonts w:ascii="黑体" w:hAnsi="黑体" w:eastAsia="黑体" w:cs="宋体"/>
                <w:kern w:val="0"/>
                <w:sz w:val="20"/>
                <w:szCs w:val="20"/>
              </w:rPr>
            </w:pPr>
          </w:p>
        </w:tc>
        <w:tc>
          <w:tcPr>
            <w:tcW w:w="640" w:type="dxa"/>
            <w:vMerge w:val="continue"/>
            <w:tcBorders>
              <w:top w:val="nil"/>
              <w:left w:val="single" w:color="auto" w:sz="4" w:space="0"/>
              <w:bottom w:val="single" w:color="auto" w:sz="4" w:space="0"/>
              <w:right w:val="single" w:color="auto" w:sz="4" w:space="0"/>
            </w:tcBorders>
            <w:vAlign w:val="center"/>
          </w:tcPr>
          <w:p>
            <w:pPr>
              <w:widowControl/>
              <w:jc w:val="left"/>
              <w:rPr>
                <w:rFonts w:ascii="黑体" w:hAnsi="黑体" w:eastAsia="黑体" w:cs="宋体"/>
                <w:kern w:val="0"/>
                <w:sz w:val="20"/>
                <w:szCs w:val="20"/>
              </w:rPr>
            </w:pPr>
          </w:p>
        </w:tc>
        <w:tc>
          <w:tcPr>
            <w:tcW w:w="5820" w:type="dxa"/>
            <w:vMerge w:val="continue"/>
            <w:tcBorders>
              <w:top w:val="nil"/>
              <w:left w:val="single" w:color="auto" w:sz="4" w:space="0"/>
              <w:bottom w:val="single" w:color="auto" w:sz="4" w:space="0"/>
            </w:tcBorders>
            <w:vAlign w:val="center"/>
          </w:tcPr>
          <w:p>
            <w:pPr>
              <w:widowControl/>
              <w:jc w:val="left"/>
              <w:rPr>
                <w:rFonts w:ascii="黑体" w:hAnsi="黑体" w:eastAsia="黑体" w:cs="宋体"/>
                <w:kern w:val="0"/>
                <w:sz w:val="20"/>
                <w:szCs w:val="20"/>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Layout w:type="fixed"/>
          <w:tblCellMar>
            <w:top w:w="0" w:type="dxa"/>
            <w:left w:w="108" w:type="dxa"/>
            <w:bottom w:w="0" w:type="dxa"/>
            <w:right w:w="108" w:type="dxa"/>
          </w:tblCellMar>
        </w:tblPrEx>
        <w:trPr>
          <w:trHeight w:val="960" w:hRule="atLeast"/>
        </w:trPr>
        <w:tc>
          <w:tcPr>
            <w:tcW w:w="861" w:type="dxa"/>
            <w:tcBorders>
              <w:top w:val="nil"/>
              <w:bottom w:val="single" w:color="auto" w:sz="4" w:space="0"/>
              <w:right w:val="single" w:color="auto" w:sz="4" w:space="0"/>
            </w:tcBorders>
            <w:shd w:val="clear" w:color="auto" w:fill="auto"/>
            <w:vAlign w:val="center"/>
          </w:tcPr>
          <w:p>
            <w:pPr>
              <w:widowControl/>
              <w:jc w:val="left"/>
              <w:rPr>
                <w:rFonts w:ascii="黑体" w:hAnsi="黑体" w:eastAsia="黑体" w:cs="宋体"/>
                <w:kern w:val="0"/>
                <w:sz w:val="20"/>
                <w:szCs w:val="20"/>
              </w:rPr>
            </w:pPr>
            <w:r>
              <w:rPr>
                <w:rFonts w:hint="eastAsia" w:ascii="黑体" w:hAnsi="黑体" w:eastAsia="黑体" w:cs="宋体"/>
                <w:kern w:val="0"/>
                <w:sz w:val="20"/>
                <w:szCs w:val="20"/>
              </w:rPr>
              <w:t xml:space="preserve">内科        </w:t>
            </w:r>
          </w:p>
        </w:tc>
        <w:tc>
          <w:tcPr>
            <w:tcW w:w="1600" w:type="dxa"/>
            <w:tcBorders>
              <w:top w:val="nil"/>
              <w:left w:val="nil"/>
              <w:bottom w:val="single" w:color="auto" w:sz="4" w:space="0"/>
              <w:right w:val="single" w:color="auto" w:sz="4" w:space="0"/>
            </w:tcBorders>
            <w:shd w:val="clear" w:color="auto" w:fill="auto"/>
            <w:vAlign w:val="center"/>
          </w:tcPr>
          <w:p>
            <w:pPr>
              <w:widowControl/>
              <w:jc w:val="left"/>
              <w:rPr>
                <w:rFonts w:ascii="黑体" w:hAnsi="黑体" w:eastAsia="黑体" w:cs="宋体"/>
                <w:kern w:val="0"/>
                <w:sz w:val="20"/>
                <w:szCs w:val="20"/>
              </w:rPr>
            </w:pPr>
            <w:r>
              <w:rPr>
                <w:rFonts w:hint="eastAsia" w:ascii="黑体" w:hAnsi="黑体" w:eastAsia="黑体" w:cs="宋体"/>
                <w:kern w:val="0"/>
                <w:sz w:val="20"/>
                <w:szCs w:val="20"/>
              </w:rPr>
              <w:t>常规检查</w:t>
            </w:r>
          </w:p>
        </w:tc>
        <w:tc>
          <w:tcPr>
            <w:tcW w:w="640"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20"/>
                <w:szCs w:val="20"/>
              </w:rPr>
            </w:pPr>
            <w:r>
              <w:rPr>
                <w:rFonts w:hint="eastAsia" w:ascii="黑体" w:hAnsi="黑体" w:eastAsia="黑体" w:cs="宋体"/>
                <w:kern w:val="0"/>
                <w:sz w:val="20"/>
                <w:szCs w:val="20"/>
              </w:rPr>
              <w:t>●</w:t>
            </w:r>
          </w:p>
        </w:tc>
        <w:tc>
          <w:tcPr>
            <w:tcW w:w="640"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20"/>
                <w:szCs w:val="20"/>
              </w:rPr>
            </w:pPr>
            <w:r>
              <w:rPr>
                <w:rFonts w:hint="eastAsia" w:ascii="黑体" w:hAnsi="黑体" w:eastAsia="黑体" w:cs="宋体"/>
                <w:kern w:val="0"/>
                <w:sz w:val="20"/>
                <w:szCs w:val="20"/>
              </w:rPr>
              <w:t>●</w:t>
            </w:r>
          </w:p>
        </w:tc>
        <w:tc>
          <w:tcPr>
            <w:tcW w:w="640"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20"/>
                <w:szCs w:val="20"/>
              </w:rPr>
            </w:pPr>
            <w:r>
              <w:rPr>
                <w:rFonts w:hint="eastAsia" w:ascii="黑体" w:hAnsi="黑体" w:eastAsia="黑体" w:cs="宋体"/>
                <w:kern w:val="0"/>
                <w:sz w:val="20"/>
                <w:szCs w:val="20"/>
              </w:rPr>
              <w:t>●</w:t>
            </w:r>
          </w:p>
        </w:tc>
        <w:tc>
          <w:tcPr>
            <w:tcW w:w="5820" w:type="dxa"/>
            <w:tcBorders>
              <w:top w:val="nil"/>
              <w:left w:val="nil"/>
              <w:bottom w:val="single" w:color="auto" w:sz="4" w:space="0"/>
            </w:tcBorders>
            <w:shd w:val="clear" w:color="auto" w:fill="auto"/>
            <w:vAlign w:val="center"/>
          </w:tcPr>
          <w:p>
            <w:pPr>
              <w:widowControl/>
              <w:jc w:val="left"/>
              <w:rPr>
                <w:rFonts w:ascii="黑体" w:hAnsi="黑体" w:eastAsia="黑体" w:cs="宋体"/>
                <w:kern w:val="0"/>
                <w:sz w:val="20"/>
                <w:szCs w:val="20"/>
              </w:rPr>
            </w:pPr>
            <w:r>
              <w:rPr>
                <w:rFonts w:hint="eastAsia" w:ascii="黑体" w:hAnsi="黑体" w:eastAsia="黑体" w:cs="宋体"/>
                <w:kern w:val="0"/>
                <w:sz w:val="20"/>
                <w:szCs w:val="20"/>
              </w:rPr>
              <w:t>通过听诊、触摸、叩诊等方法，检查心、肝、脾、肺、双肾等脏器的基本情况，如心脏大小是否正常、有无杂音、节律是否整齐，肝脾大小是否正常，肺部有无罗音、双肾有无压痛、扣击痛及生理病理反射情况，为健康评估提供依据。</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Layout w:type="fixed"/>
          <w:tblCellMar>
            <w:top w:w="0" w:type="dxa"/>
            <w:left w:w="108" w:type="dxa"/>
            <w:bottom w:w="0" w:type="dxa"/>
            <w:right w:w="108" w:type="dxa"/>
          </w:tblCellMar>
        </w:tblPrEx>
        <w:trPr>
          <w:trHeight w:val="480" w:hRule="atLeast"/>
        </w:trPr>
        <w:tc>
          <w:tcPr>
            <w:tcW w:w="861" w:type="dxa"/>
            <w:vMerge w:val="restart"/>
            <w:tcBorders>
              <w:top w:val="nil"/>
              <w:bottom w:val="single" w:color="auto" w:sz="4" w:space="0"/>
              <w:right w:val="single" w:color="auto" w:sz="4" w:space="0"/>
            </w:tcBorders>
            <w:shd w:val="clear" w:color="auto" w:fill="auto"/>
            <w:vAlign w:val="center"/>
          </w:tcPr>
          <w:p>
            <w:pPr>
              <w:widowControl/>
              <w:jc w:val="left"/>
              <w:rPr>
                <w:rFonts w:ascii="黑体" w:hAnsi="黑体" w:eastAsia="黑体" w:cs="宋体"/>
                <w:kern w:val="0"/>
                <w:sz w:val="20"/>
                <w:szCs w:val="20"/>
              </w:rPr>
            </w:pPr>
            <w:r>
              <w:rPr>
                <w:rFonts w:hint="eastAsia" w:ascii="黑体" w:hAnsi="黑体" w:eastAsia="黑体" w:cs="宋体"/>
                <w:kern w:val="0"/>
                <w:sz w:val="20"/>
                <w:szCs w:val="20"/>
              </w:rPr>
              <w:t>外科</w:t>
            </w:r>
          </w:p>
        </w:tc>
        <w:tc>
          <w:tcPr>
            <w:tcW w:w="1600" w:type="dxa"/>
            <w:tcBorders>
              <w:top w:val="nil"/>
              <w:left w:val="nil"/>
              <w:bottom w:val="single" w:color="auto" w:sz="4" w:space="0"/>
              <w:right w:val="single" w:color="auto" w:sz="4" w:space="0"/>
            </w:tcBorders>
            <w:shd w:val="clear" w:color="auto" w:fill="auto"/>
            <w:vAlign w:val="center"/>
          </w:tcPr>
          <w:p>
            <w:pPr>
              <w:widowControl/>
              <w:jc w:val="left"/>
              <w:rPr>
                <w:rFonts w:ascii="黑体" w:hAnsi="黑体" w:eastAsia="黑体" w:cs="宋体"/>
                <w:kern w:val="0"/>
                <w:sz w:val="20"/>
                <w:szCs w:val="20"/>
              </w:rPr>
            </w:pPr>
            <w:r>
              <w:rPr>
                <w:rFonts w:hint="eastAsia" w:ascii="黑体" w:hAnsi="黑体" w:eastAsia="黑体" w:cs="宋体"/>
                <w:kern w:val="0"/>
                <w:sz w:val="20"/>
                <w:szCs w:val="20"/>
              </w:rPr>
              <w:t>常规检查</w:t>
            </w:r>
          </w:p>
        </w:tc>
        <w:tc>
          <w:tcPr>
            <w:tcW w:w="640"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20"/>
                <w:szCs w:val="20"/>
              </w:rPr>
            </w:pPr>
            <w:r>
              <w:rPr>
                <w:rFonts w:hint="eastAsia" w:ascii="黑体" w:hAnsi="黑体" w:eastAsia="黑体" w:cs="宋体"/>
                <w:kern w:val="0"/>
                <w:sz w:val="20"/>
                <w:szCs w:val="20"/>
              </w:rPr>
              <w:t>●</w:t>
            </w:r>
          </w:p>
        </w:tc>
        <w:tc>
          <w:tcPr>
            <w:tcW w:w="640"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20"/>
                <w:szCs w:val="20"/>
              </w:rPr>
            </w:pPr>
            <w:r>
              <w:rPr>
                <w:rFonts w:hint="eastAsia" w:ascii="黑体" w:hAnsi="黑体" w:eastAsia="黑体" w:cs="宋体"/>
                <w:kern w:val="0"/>
                <w:sz w:val="20"/>
                <w:szCs w:val="20"/>
              </w:rPr>
              <w:t>●</w:t>
            </w:r>
          </w:p>
        </w:tc>
        <w:tc>
          <w:tcPr>
            <w:tcW w:w="640"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20"/>
                <w:szCs w:val="20"/>
              </w:rPr>
            </w:pPr>
            <w:r>
              <w:rPr>
                <w:rFonts w:hint="eastAsia" w:ascii="黑体" w:hAnsi="黑体" w:eastAsia="黑体" w:cs="宋体"/>
                <w:kern w:val="0"/>
                <w:sz w:val="20"/>
                <w:szCs w:val="20"/>
              </w:rPr>
              <w:t>●</w:t>
            </w:r>
          </w:p>
        </w:tc>
        <w:tc>
          <w:tcPr>
            <w:tcW w:w="5820" w:type="dxa"/>
            <w:vMerge w:val="restart"/>
            <w:tcBorders>
              <w:top w:val="nil"/>
              <w:left w:val="single" w:color="auto" w:sz="4" w:space="0"/>
              <w:bottom w:val="single" w:color="auto" w:sz="4" w:space="0"/>
            </w:tcBorders>
            <w:shd w:val="clear" w:color="auto" w:fill="auto"/>
            <w:vAlign w:val="center"/>
          </w:tcPr>
          <w:p>
            <w:pPr>
              <w:widowControl/>
              <w:jc w:val="left"/>
              <w:rPr>
                <w:rFonts w:ascii="黑体" w:hAnsi="黑体" w:eastAsia="黑体" w:cs="宋体"/>
                <w:kern w:val="0"/>
                <w:sz w:val="20"/>
                <w:szCs w:val="20"/>
              </w:rPr>
            </w:pPr>
            <w:r>
              <w:rPr>
                <w:rFonts w:hint="eastAsia" w:ascii="黑体" w:hAnsi="黑体" w:eastAsia="黑体" w:cs="宋体"/>
                <w:kern w:val="0"/>
                <w:sz w:val="20"/>
                <w:szCs w:val="20"/>
              </w:rPr>
              <w:t>通过触诊了解有无体表肿物，如疝气、淋巴结肿大、甲状腺肿大、乳腺增生；以及外科浅表皮肤感染、静脉曲张等外科系统基本情况，肛诊可以了解直肠情况，为健康评估提供信息。</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Layout w:type="fixed"/>
          <w:tblCellMar>
            <w:top w:w="0" w:type="dxa"/>
            <w:left w:w="108" w:type="dxa"/>
            <w:bottom w:w="0" w:type="dxa"/>
            <w:right w:w="108" w:type="dxa"/>
          </w:tblCellMar>
        </w:tblPrEx>
        <w:trPr>
          <w:trHeight w:val="285" w:hRule="atLeast"/>
        </w:trPr>
        <w:tc>
          <w:tcPr>
            <w:tcW w:w="861" w:type="dxa"/>
            <w:vMerge w:val="continue"/>
            <w:tcBorders>
              <w:top w:val="nil"/>
              <w:bottom w:val="single" w:color="auto" w:sz="4" w:space="0"/>
              <w:right w:val="single" w:color="auto" w:sz="4" w:space="0"/>
            </w:tcBorders>
            <w:vAlign w:val="center"/>
          </w:tcPr>
          <w:p>
            <w:pPr>
              <w:widowControl/>
              <w:jc w:val="left"/>
              <w:rPr>
                <w:rFonts w:ascii="黑体" w:hAnsi="黑体" w:eastAsia="黑体" w:cs="宋体"/>
                <w:kern w:val="0"/>
                <w:sz w:val="20"/>
                <w:szCs w:val="20"/>
              </w:rPr>
            </w:pPr>
          </w:p>
        </w:tc>
        <w:tc>
          <w:tcPr>
            <w:tcW w:w="1600" w:type="dxa"/>
            <w:tcBorders>
              <w:top w:val="nil"/>
              <w:left w:val="nil"/>
              <w:bottom w:val="single" w:color="auto" w:sz="4" w:space="0"/>
              <w:right w:val="single" w:color="auto" w:sz="4" w:space="0"/>
            </w:tcBorders>
            <w:shd w:val="clear" w:color="auto" w:fill="auto"/>
            <w:vAlign w:val="center"/>
          </w:tcPr>
          <w:p>
            <w:pPr>
              <w:widowControl/>
              <w:jc w:val="left"/>
              <w:rPr>
                <w:rFonts w:ascii="黑体" w:hAnsi="黑体" w:eastAsia="黑体" w:cs="宋体"/>
                <w:kern w:val="0"/>
                <w:sz w:val="20"/>
                <w:szCs w:val="20"/>
              </w:rPr>
            </w:pPr>
            <w:r>
              <w:rPr>
                <w:rFonts w:hint="eastAsia" w:ascii="黑体" w:hAnsi="黑体" w:eastAsia="黑体" w:cs="宋体"/>
                <w:kern w:val="0"/>
                <w:sz w:val="20"/>
                <w:szCs w:val="20"/>
              </w:rPr>
              <w:t>肛诊</w:t>
            </w:r>
          </w:p>
        </w:tc>
        <w:tc>
          <w:tcPr>
            <w:tcW w:w="640" w:type="dxa"/>
            <w:vMerge w:val="continue"/>
            <w:tcBorders>
              <w:top w:val="nil"/>
              <w:left w:val="single" w:color="auto" w:sz="4" w:space="0"/>
              <w:bottom w:val="single" w:color="auto" w:sz="4" w:space="0"/>
              <w:right w:val="single" w:color="auto" w:sz="4" w:space="0"/>
            </w:tcBorders>
            <w:vAlign w:val="center"/>
          </w:tcPr>
          <w:p>
            <w:pPr>
              <w:widowControl/>
              <w:jc w:val="left"/>
              <w:rPr>
                <w:rFonts w:ascii="黑体" w:hAnsi="黑体" w:eastAsia="黑体" w:cs="宋体"/>
                <w:kern w:val="0"/>
                <w:sz w:val="20"/>
                <w:szCs w:val="20"/>
              </w:rPr>
            </w:pPr>
          </w:p>
        </w:tc>
        <w:tc>
          <w:tcPr>
            <w:tcW w:w="640" w:type="dxa"/>
            <w:vMerge w:val="continue"/>
            <w:tcBorders>
              <w:top w:val="nil"/>
              <w:left w:val="single" w:color="auto" w:sz="4" w:space="0"/>
              <w:bottom w:val="single" w:color="auto" w:sz="4" w:space="0"/>
              <w:right w:val="single" w:color="auto" w:sz="4" w:space="0"/>
            </w:tcBorders>
            <w:vAlign w:val="center"/>
          </w:tcPr>
          <w:p>
            <w:pPr>
              <w:widowControl/>
              <w:jc w:val="left"/>
              <w:rPr>
                <w:rFonts w:ascii="黑体" w:hAnsi="黑体" w:eastAsia="黑体" w:cs="宋体"/>
                <w:kern w:val="0"/>
                <w:sz w:val="20"/>
                <w:szCs w:val="20"/>
              </w:rPr>
            </w:pPr>
          </w:p>
        </w:tc>
        <w:tc>
          <w:tcPr>
            <w:tcW w:w="640" w:type="dxa"/>
            <w:vMerge w:val="continue"/>
            <w:tcBorders>
              <w:top w:val="nil"/>
              <w:left w:val="single" w:color="auto" w:sz="4" w:space="0"/>
              <w:bottom w:val="single" w:color="auto" w:sz="4" w:space="0"/>
              <w:right w:val="single" w:color="auto" w:sz="4" w:space="0"/>
            </w:tcBorders>
            <w:vAlign w:val="center"/>
          </w:tcPr>
          <w:p>
            <w:pPr>
              <w:widowControl/>
              <w:jc w:val="left"/>
              <w:rPr>
                <w:rFonts w:ascii="黑体" w:hAnsi="黑体" w:eastAsia="黑体" w:cs="宋体"/>
                <w:kern w:val="0"/>
                <w:sz w:val="20"/>
                <w:szCs w:val="20"/>
              </w:rPr>
            </w:pPr>
          </w:p>
        </w:tc>
        <w:tc>
          <w:tcPr>
            <w:tcW w:w="5820" w:type="dxa"/>
            <w:vMerge w:val="continue"/>
            <w:tcBorders>
              <w:top w:val="nil"/>
              <w:left w:val="single" w:color="auto" w:sz="4" w:space="0"/>
              <w:bottom w:val="single" w:color="auto" w:sz="4" w:space="0"/>
            </w:tcBorders>
            <w:vAlign w:val="center"/>
          </w:tcPr>
          <w:p>
            <w:pPr>
              <w:widowControl/>
              <w:jc w:val="left"/>
              <w:rPr>
                <w:rFonts w:ascii="黑体" w:hAnsi="黑体" w:eastAsia="黑体" w:cs="宋体"/>
                <w:kern w:val="0"/>
                <w:sz w:val="20"/>
                <w:szCs w:val="20"/>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Layout w:type="fixed"/>
        </w:tblPrEx>
        <w:trPr>
          <w:trHeight w:val="360" w:hRule="atLeast"/>
        </w:trPr>
        <w:tc>
          <w:tcPr>
            <w:tcW w:w="861" w:type="dxa"/>
            <w:vMerge w:val="restart"/>
            <w:tcBorders>
              <w:top w:val="nil"/>
              <w:bottom w:val="single" w:color="auto" w:sz="4" w:space="0"/>
              <w:right w:val="single" w:color="auto" w:sz="4" w:space="0"/>
            </w:tcBorders>
            <w:shd w:val="clear" w:color="auto" w:fill="auto"/>
            <w:vAlign w:val="center"/>
          </w:tcPr>
          <w:p>
            <w:pPr>
              <w:widowControl/>
              <w:jc w:val="left"/>
              <w:rPr>
                <w:rFonts w:ascii="黑体" w:hAnsi="黑体" w:eastAsia="黑体" w:cs="宋体"/>
                <w:kern w:val="0"/>
                <w:sz w:val="20"/>
                <w:szCs w:val="20"/>
              </w:rPr>
            </w:pPr>
            <w:r>
              <w:rPr>
                <w:rFonts w:hint="eastAsia" w:ascii="黑体" w:hAnsi="黑体" w:eastAsia="黑体" w:cs="宋体"/>
                <w:kern w:val="0"/>
                <w:sz w:val="20"/>
                <w:szCs w:val="20"/>
              </w:rPr>
              <w:t>眼科</w:t>
            </w:r>
          </w:p>
        </w:tc>
        <w:tc>
          <w:tcPr>
            <w:tcW w:w="1600" w:type="dxa"/>
            <w:tcBorders>
              <w:top w:val="nil"/>
              <w:left w:val="nil"/>
              <w:bottom w:val="single" w:color="auto" w:sz="4" w:space="0"/>
              <w:right w:val="single" w:color="auto" w:sz="4" w:space="0"/>
            </w:tcBorders>
            <w:shd w:val="clear" w:color="auto" w:fill="auto"/>
            <w:vAlign w:val="center"/>
          </w:tcPr>
          <w:p>
            <w:pPr>
              <w:widowControl/>
              <w:jc w:val="left"/>
              <w:rPr>
                <w:rFonts w:ascii="黑体" w:hAnsi="黑体" w:eastAsia="黑体" w:cs="宋体"/>
                <w:kern w:val="0"/>
                <w:sz w:val="20"/>
                <w:szCs w:val="20"/>
              </w:rPr>
            </w:pPr>
            <w:r>
              <w:rPr>
                <w:rFonts w:hint="eastAsia" w:ascii="黑体" w:hAnsi="黑体" w:eastAsia="黑体" w:cs="宋体"/>
                <w:kern w:val="0"/>
                <w:sz w:val="20"/>
                <w:szCs w:val="20"/>
              </w:rPr>
              <w:t>视力、色觉</w:t>
            </w:r>
          </w:p>
        </w:tc>
        <w:tc>
          <w:tcPr>
            <w:tcW w:w="640"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20"/>
                <w:szCs w:val="20"/>
              </w:rPr>
            </w:pPr>
            <w:r>
              <w:rPr>
                <w:rFonts w:hint="eastAsia" w:ascii="黑体" w:hAnsi="黑体" w:eastAsia="黑体" w:cs="宋体"/>
                <w:kern w:val="0"/>
                <w:sz w:val="20"/>
                <w:szCs w:val="20"/>
              </w:rPr>
              <w:t>●</w:t>
            </w:r>
          </w:p>
        </w:tc>
        <w:tc>
          <w:tcPr>
            <w:tcW w:w="640"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20"/>
                <w:szCs w:val="20"/>
              </w:rPr>
            </w:pPr>
            <w:r>
              <w:rPr>
                <w:rFonts w:hint="eastAsia" w:ascii="黑体" w:hAnsi="黑体" w:eastAsia="黑体" w:cs="宋体"/>
                <w:kern w:val="0"/>
                <w:sz w:val="20"/>
                <w:szCs w:val="20"/>
              </w:rPr>
              <w:t>●</w:t>
            </w:r>
          </w:p>
        </w:tc>
        <w:tc>
          <w:tcPr>
            <w:tcW w:w="640"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20"/>
                <w:szCs w:val="20"/>
              </w:rPr>
            </w:pPr>
            <w:r>
              <w:rPr>
                <w:rFonts w:hint="eastAsia" w:ascii="黑体" w:hAnsi="黑体" w:eastAsia="黑体" w:cs="宋体"/>
                <w:kern w:val="0"/>
                <w:sz w:val="20"/>
                <w:szCs w:val="20"/>
              </w:rPr>
              <w:t>●</w:t>
            </w:r>
          </w:p>
        </w:tc>
        <w:tc>
          <w:tcPr>
            <w:tcW w:w="5820" w:type="dxa"/>
            <w:vMerge w:val="restart"/>
            <w:tcBorders>
              <w:top w:val="nil"/>
              <w:left w:val="single" w:color="auto" w:sz="4" w:space="0"/>
              <w:bottom w:val="single" w:color="auto" w:sz="4" w:space="0"/>
            </w:tcBorders>
            <w:shd w:val="clear" w:color="auto" w:fill="auto"/>
            <w:vAlign w:val="center"/>
          </w:tcPr>
          <w:p>
            <w:pPr>
              <w:widowControl/>
              <w:jc w:val="left"/>
              <w:rPr>
                <w:rFonts w:ascii="黑体" w:hAnsi="黑体" w:eastAsia="黑体" w:cs="宋体"/>
                <w:kern w:val="0"/>
                <w:sz w:val="20"/>
                <w:szCs w:val="20"/>
              </w:rPr>
            </w:pPr>
            <w:r>
              <w:rPr>
                <w:rFonts w:hint="eastAsia" w:ascii="黑体" w:hAnsi="黑体" w:eastAsia="黑体" w:cs="宋体"/>
                <w:kern w:val="0"/>
                <w:sz w:val="20"/>
                <w:szCs w:val="20"/>
              </w:rPr>
              <w:t>检查有无近视、远视、散光等屈光不正的现象，检查眼底视网膜病变、老年型黄斑变性、视乳头病变,眼底动脉改变，为诊断颅脑疾病、内分泌疾病、动脉硬化等提供信息，为早期治疗争取时间。</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Layout w:type="fixed"/>
          <w:tblCellMar>
            <w:top w:w="0" w:type="dxa"/>
            <w:left w:w="108" w:type="dxa"/>
            <w:bottom w:w="0" w:type="dxa"/>
            <w:right w:w="108" w:type="dxa"/>
          </w:tblCellMar>
        </w:tblPrEx>
        <w:trPr>
          <w:trHeight w:val="720" w:hRule="atLeast"/>
        </w:trPr>
        <w:tc>
          <w:tcPr>
            <w:tcW w:w="861" w:type="dxa"/>
            <w:vMerge w:val="continue"/>
            <w:tcBorders>
              <w:top w:val="nil"/>
              <w:bottom w:val="single" w:color="auto" w:sz="4" w:space="0"/>
              <w:right w:val="single" w:color="auto" w:sz="4" w:space="0"/>
            </w:tcBorders>
            <w:vAlign w:val="center"/>
          </w:tcPr>
          <w:p>
            <w:pPr>
              <w:widowControl/>
              <w:jc w:val="left"/>
              <w:rPr>
                <w:rFonts w:ascii="黑体" w:hAnsi="黑体" w:eastAsia="黑体" w:cs="宋体"/>
                <w:kern w:val="0"/>
                <w:sz w:val="20"/>
                <w:szCs w:val="20"/>
              </w:rPr>
            </w:pPr>
          </w:p>
        </w:tc>
        <w:tc>
          <w:tcPr>
            <w:tcW w:w="1600" w:type="dxa"/>
            <w:tcBorders>
              <w:top w:val="nil"/>
              <w:left w:val="nil"/>
              <w:bottom w:val="single" w:color="auto" w:sz="4" w:space="0"/>
              <w:right w:val="single" w:color="auto" w:sz="4" w:space="0"/>
            </w:tcBorders>
            <w:shd w:val="clear" w:color="auto" w:fill="auto"/>
            <w:vAlign w:val="center"/>
          </w:tcPr>
          <w:p>
            <w:pPr>
              <w:widowControl/>
              <w:jc w:val="left"/>
              <w:rPr>
                <w:rFonts w:ascii="黑体" w:hAnsi="黑体" w:eastAsia="黑体" w:cs="宋体"/>
                <w:kern w:val="0"/>
                <w:sz w:val="20"/>
                <w:szCs w:val="20"/>
              </w:rPr>
            </w:pPr>
            <w:r>
              <w:rPr>
                <w:rFonts w:hint="eastAsia" w:ascii="黑体" w:hAnsi="黑体" w:eastAsia="黑体" w:cs="宋体"/>
                <w:kern w:val="0"/>
                <w:sz w:val="20"/>
                <w:szCs w:val="20"/>
              </w:rPr>
              <w:t>外眼、裂隙灯</w:t>
            </w:r>
          </w:p>
        </w:tc>
        <w:tc>
          <w:tcPr>
            <w:tcW w:w="640"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20"/>
                <w:szCs w:val="20"/>
              </w:rPr>
            </w:pPr>
            <w:r>
              <w:rPr>
                <w:rFonts w:hint="eastAsia" w:ascii="黑体" w:hAnsi="黑体" w:eastAsia="黑体" w:cs="宋体"/>
                <w:kern w:val="0"/>
                <w:sz w:val="20"/>
                <w:szCs w:val="20"/>
              </w:rPr>
              <w:t>●</w:t>
            </w:r>
          </w:p>
        </w:tc>
        <w:tc>
          <w:tcPr>
            <w:tcW w:w="640"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20"/>
                <w:szCs w:val="20"/>
              </w:rPr>
            </w:pPr>
            <w:r>
              <w:rPr>
                <w:rFonts w:hint="eastAsia" w:ascii="黑体" w:hAnsi="黑体" w:eastAsia="黑体" w:cs="宋体"/>
                <w:kern w:val="0"/>
                <w:sz w:val="20"/>
                <w:szCs w:val="20"/>
              </w:rPr>
              <w:t>●</w:t>
            </w:r>
          </w:p>
        </w:tc>
        <w:tc>
          <w:tcPr>
            <w:tcW w:w="640"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20"/>
                <w:szCs w:val="20"/>
              </w:rPr>
            </w:pPr>
            <w:r>
              <w:rPr>
                <w:rFonts w:hint="eastAsia" w:ascii="黑体" w:hAnsi="黑体" w:eastAsia="黑体" w:cs="宋体"/>
                <w:kern w:val="0"/>
                <w:sz w:val="20"/>
                <w:szCs w:val="20"/>
              </w:rPr>
              <w:t>●</w:t>
            </w:r>
          </w:p>
        </w:tc>
        <w:tc>
          <w:tcPr>
            <w:tcW w:w="5820" w:type="dxa"/>
            <w:vMerge w:val="continue"/>
            <w:tcBorders>
              <w:top w:val="nil"/>
              <w:left w:val="single" w:color="auto" w:sz="4" w:space="0"/>
              <w:bottom w:val="single" w:color="auto" w:sz="4" w:space="0"/>
            </w:tcBorders>
            <w:vAlign w:val="center"/>
          </w:tcPr>
          <w:p>
            <w:pPr>
              <w:widowControl/>
              <w:jc w:val="left"/>
              <w:rPr>
                <w:rFonts w:ascii="黑体" w:hAnsi="黑体" w:eastAsia="黑体" w:cs="宋体"/>
                <w:kern w:val="0"/>
                <w:sz w:val="20"/>
                <w:szCs w:val="20"/>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Layout w:type="fixed"/>
          <w:tblCellMar>
            <w:top w:w="0" w:type="dxa"/>
            <w:left w:w="108" w:type="dxa"/>
            <w:bottom w:w="0" w:type="dxa"/>
            <w:right w:w="108" w:type="dxa"/>
          </w:tblCellMar>
        </w:tblPrEx>
        <w:trPr>
          <w:trHeight w:val="285" w:hRule="atLeast"/>
        </w:trPr>
        <w:tc>
          <w:tcPr>
            <w:tcW w:w="861" w:type="dxa"/>
            <w:vMerge w:val="continue"/>
            <w:tcBorders>
              <w:top w:val="nil"/>
              <w:bottom w:val="single" w:color="auto" w:sz="4" w:space="0"/>
              <w:right w:val="single" w:color="auto" w:sz="4" w:space="0"/>
            </w:tcBorders>
            <w:vAlign w:val="center"/>
          </w:tcPr>
          <w:p>
            <w:pPr>
              <w:widowControl/>
              <w:jc w:val="left"/>
              <w:rPr>
                <w:rFonts w:ascii="黑体" w:hAnsi="黑体" w:eastAsia="黑体" w:cs="宋体"/>
                <w:kern w:val="0"/>
                <w:sz w:val="20"/>
                <w:szCs w:val="20"/>
              </w:rPr>
            </w:pPr>
          </w:p>
        </w:tc>
        <w:tc>
          <w:tcPr>
            <w:tcW w:w="1600" w:type="dxa"/>
            <w:tcBorders>
              <w:top w:val="nil"/>
              <w:left w:val="nil"/>
              <w:bottom w:val="single" w:color="auto" w:sz="4" w:space="0"/>
              <w:right w:val="single" w:color="auto" w:sz="4" w:space="0"/>
            </w:tcBorders>
            <w:shd w:val="clear" w:color="auto" w:fill="auto"/>
            <w:vAlign w:val="center"/>
          </w:tcPr>
          <w:p>
            <w:pPr>
              <w:widowControl/>
              <w:jc w:val="left"/>
              <w:rPr>
                <w:rFonts w:ascii="黑体" w:hAnsi="黑体" w:eastAsia="黑体" w:cs="宋体"/>
                <w:kern w:val="0"/>
                <w:sz w:val="20"/>
                <w:szCs w:val="20"/>
              </w:rPr>
            </w:pPr>
            <w:r>
              <w:rPr>
                <w:rFonts w:hint="eastAsia" w:ascii="黑体" w:hAnsi="黑体" w:eastAsia="黑体" w:cs="宋体"/>
                <w:kern w:val="0"/>
                <w:sz w:val="20"/>
                <w:szCs w:val="20"/>
              </w:rPr>
              <w:t>眼底</w:t>
            </w:r>
          </w:p>
        </w:tc>
        <w:tc>
          <w:tcPr>
            <w:tcW w:w="640"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20"/>
                <w:szCs w:val="20"/>
              </w:rPr>
            </w:pPr>
            <w:r>
              <w:rPr>
                <w:rFonts w:hint="eastAsia" w:ascii="黑体" w:hAnsi="黑体" w:eastAsia="黑体" w:cs="宋体"/>
                <w:kern w:val="0"/>
                <w:sz w:val="20"/>
                <w:szCs w:val="20"/>
              </w:rPr>
              <w:t>●</w:t>
            </w:r>
          </w:p>
        </w:tc>
        <w:tc>
          <w:tcPr>
            <w:tcW w:w="640"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20"/>
                <w:szCs w:val="20"/>
              </w:rPr>
            </w:pPr>
            <w:r>
              <w:rPr>
                <w:rFonts w:hint="eastAsia" w:ascii="黑体" w:hAnsi="黑体" w:eastAsia="黑体" w:cs="宋体"/>
                <w:kern w:val="0"/>
                <w:sz w:val="20"/>
                <w:szCs w:val="20"/>
              </w:rPr>
              <w:t>●</w:t>
            </w:r>
          </w:p>
        </w:tc>
        <w:tc>
          <w:tcPr>
            <w:tcW w:w="640"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20"/>
                <w:szCs w:val="20"/>
              </w:rPr>
            </w:pPr>
            <w:r>
              <w:rPr>
                <w:rFonts w:hint="eastAsia" w:ascii="黑体" w:hAnsi="黑体" w:eastAsia="黑体" w:cs="宋体"/>
                <w:kern w:val="0"/>
                <w:sz w:val="20"/>
                <w:szCs w:val="20"/>
              </w:rPr>
              <w:t>●</w:t>
            </w:r>
          </w:p>
        </w:tc>
        <w:tc>
          <w:tcPr>
            <w:tcW w:w="5820" w:type="dxa"/>
            <w:vMerge w:val="continue"/>
            <w:tcBorders>
              <w:top w:val="nil"/>
              <w:left w:val="single" w:color="auto" w:sz="4" w:space="0"/>
              <w:bottom w:val="single" w:color="auto" w:sz="4" w:space="0"/>
            </w:tcBorders>
            <w:vAlign w:val="center"/>
          </w:tcPr>
          <w:p>
            <w:pPr>
              <w:widowControl/>
              <w:jc w:val="left"/>
              <w:rPr>
                <w:rFonts w:ascii="黑体" w:hAnsi="黑体" w:eastAsia="黑体" w:cs="宋体"/>
                <w:kern w:val="0"/>
                <w:sz w:val="20"/>
                <w:szCs w:val="20"/>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Layout w:type="fixed"/>
          <w:tblCellMar>
            <w:top w:w="0" w:type="dxa"/>
            <w:left w:w="108" w:type="dxa"/>
            <w:bottom w:w="0" w:type="dxa"/>
            <w:right w:w="108" w:type="dxa"/>
          </w:tblCellMar>
        </w:tblPrEx>
        <w:trPr>
          <w:trHeight w:val="360" w:hRule="atLeast"/>
        </w:trPr>
        <w:tc>
          <w:tcPr>
            <w:tcW w:w="861" w:type="dxa"/>
            <w:vMerge w:val="restart"/>
            <w:tcBorders>
              <w:top w:val="nil"/>
              <w:bottom w:val="single" w:color="auto" w:sz="4" w:space="0"/>
              <w:right w:val="single" w:color="auto" w:sz="4" w:space="0"/>
            </w:tcBorders>
            <w:shd w:val="clear" w:color="auto" w:fill="auto"/>
            <w:vAlign w:val="center"/>
          </w:tcPr>
          <w:p>
            <w:pPr>
              <w:widowControl/>
              <w:jc w:val="left"/>
              <w:rPr>
                <w:rFonts w:ascii="黑体" w:hAnsi="黑体" w:eastAsia="黑体" w:cs="宋体"/>
                <w:kern w:val="0"/>
                <w:sz w:val="20"/>
                <w:szCs w:val="20"/>
              </w:rPr>
            </w:pPr>
            <w:r>
              <w:rPr>
                <w:rFonts w:hint="eastAsia" w:ascii="黑体" w:hAnsi="黑体" w:eastAsia="黑体" w:cs="宋体"/>
                <w:kern w:val="0"/>
                <w:sz w:val="20"/>
                <w:szCs w:val="20"/>
              </w:rPr>
              <w:t>耳鼻喉科</w:t>
            </w:r>
          </w:p>
        </w:tc>
        <w:tc>
          <w:tcPr>
            <w:tcW w:w="1600" w:type="dxa"/>
            <w:tcBorders>
              <w:top w:val="nil"/>
              <w:left w:val="nil"/>
              <w:bottom w:val="single" w:color="auto" w:sz="4" w:space="0"/>
              <w:right w:val="single" w:color="auto" w:sz="4" w:space="0"/>
            </w:tcBorders>
            <w:shd w:val="clear" w:color="auto" w:fill="auto"/>
            <w:vAlign w:val="center"/>
          </w:tcPr>
          <w:p>
            <w:pPr>
              <w:widowControl/>
              <w:jc w:val="left"/>
              <w:rPr>
                <w:rFonts w:ascii="黑体" w:hAnsi="黑体" w:eastAsia="黑体" w:cs="宋体"/>
                <w:kern w:val="0"/>
                <w:sz w:val="20"/>
                <w:szCs w:val="20"/>
              </w:rPr>
            </w:pPr>
            <w:r>
              <w:rPr>
                <w:rFonts w:hint="eastAsia" w:ascii="黑体" w:hAnsi="黑体" w:eastAsia="黑体" w:cs="宋体"/>
                <w:kern w:val="0"/>
                <w:sz w:val="20"/>
                <w:szCs w:val="20"/>
              </w:rPr>
              <w:t>常规检查</w:t>
            </w:r>
          </w:p>
        </w:tc>
        <w:tc>
          <w:tcPr>
            <w:tcW w:w="640"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20"/>
                <w:szCs w:val="20"/>
              </w:rPr>
            </w:pPr>
            <w:r>
              <w:rPr>
                <w:rFonts w:hint="eastAsia" w:ascii="黑体" w:hAnsi="黑体" w:eastAsia="黑体" w:cs="宋体"/>
                <w:kern w:val="0"/>
                <w:sz w:val="20"/>
                <w:szCs w:val="20"/>
              </w:rPr>
              <w:t>●</w:t>
            </w:r>
          </w:p>
        </w:tc>
        <w:tc>
          <w:tcPr>
            <w:tcW w:w="640"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20"/>
                <w:szCs w:val="20"/>
              </w:rPr>
            </w:pPr>
            <w:r>
              <w:rPr>
                <w:rFonts w:hint="eastAsia" w:ascii="黑体" w:hAnsi="黑体" w:eastAsia="黑体" w:cs="宋体"/>
                <w:kern w:val="0"/>
                <w:sz w:val="20"/>
                <w:szCs w:val="20"/>
              </w:rPr>
              <w:t>●</w:t>
            </w:r>
          </w:p>
        </w:tc>
        <w:tc>
          <w:tcPr>
            <w:tcW w:w="640"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20"/>
                <w:szCs w:val="20"/>
              </w:rPr>
            </w:pPr>
            <w:r>
              <w:rPr>
                <w:rFonts w:hint="eastAsia" w:ascii="黑体" w:hAnsi="黑体" w:eastAsia="黑体" w:cs="宋体"/>
                <w:kern w:val="0"/>
                <w:sz w:val="20"/>
                <w:szCs w:val="20"/>
              </w:rPr>
              <w:t>●</w:t>
            </w:r>
          </w:p>
        </w:tc>
        <w:tc>
          <w:tcPr>
            <w:tcW w:w="5820" w:type="dxa"/>
            <w:vMerge w:val="restart"/>
            <w:tcBorders>
              <w:top w:val="nil"/>
              <w:left w:val="single" w:color="auto" w:sz="4" w:space="0"/>
              <w:bottom w:val="single" w:color="auto" w:sz="4" w:space="0"/>
            </w:tcBorders>
            <w:shd w:val="clear" w:color="auto" w:fill="auto"/>
            <w:vAlign w:val="center"/>
          </w:tcPr>
          <w:p>
            <w:pPr>
              <w:widowControl/>
              <w:jc w:val="left"/>
              <w:rPr>
                <w:rFonts w:ascii="黑体" w:hAnsi="黑体" w:eastAsia="黑体" w:cs="宋体"/>
                <w:kern w:val="0"/>
                <w:sz w:val="20"/>
                <w:szCs w:val="20"/>
              </w:rPr>
            </w:pPr>
            <w:r>
              <w:rPr>
                <w:rFonts w:hint="eastAsia" w:ascii="黑体" w:hAnsi="黑体" w:eastAsia="黑体" w:cs="宋体"/>
                <w:kern w:val="0"/>
                <w:sz w:val="20"/>
                <w:szCs w:val="20"/>
              </w:rPr>
              <w:t>借助诊疗器械检查耳、鼻、鼻咽、口咽等部位，筛检中耳炎、耳聋、面瘫、鼻炎、鼻窦炎、扁桃体炎等疾病。</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Layout w:type="fixed"/>
          <w:tblCellMar>
            <w:top w:w="0" w:type="dxa"/>
            <w:left w:w="108" w:type="dxa"/>
            <w:bottom w:w="0" w:type="dxa"/>
            <w:right w:w="108" w:type="dxa"/>
          </w:tblCellMar>
        </w:tblPrEx>
        <w:trPr>
          <w:trHeight w:val="285" w:hRule="atLeast"/>
        </w:trPr>
        <w:tc>
          <w:tcPr>
            <w:tcW w:w="861" w:type="dxa"/>
            <w:vMerge w:val="continue"/>
            <w:tcBorders>
              <w:top w:val="nil"/>
              <w:bottom w:val="single" w:color="auto" w:sz="4" w:space="0"/>
              <w:right w:val="single" w:color="auto" w:sz="4" w:space="0"/>
            </w:tcBorders>
            <w:vAlign w:val="center"/>
          </w:tcPr>
          <w:p>
            <w:pPr>
              <w:widowControl/>
              <w:jc w:val="left"/>
              <w:rPr>
                <w:rFonts w:ascii="黑体" w:hAnsi="黑体" w:eastAsia="黑体" w:cs="宋体"/>
                <w:kern w:val="0"/>
                <w:sz w:val="20"/>
                <w:szCs w:val="20"/>
              </w:rPr>
            </w:pPr>
          </w:p>
        </w:tc>
        <w:tc>
          <w:tcPr>
            <w:tcW w:w="1600" w:type="dxa"/>
            <w:tcBorders>
              <w:top w:val="nil"/>
              <w:left w:val="nil"/>
              <w:bottom w:val="single" w:color="auto" w:sz="4" w:space="0"/>
              <w:right w:val="single" w:color="auto" w:sz="4" w:space="0"/>
            </w:tcBorders>
            <w:shd w:val="clear" w:color="auto" w:fill="auto"/>
            <w:vAlign w:val="center"/>
          </w:tcPr>
          <w:p>
            <w:pPr>
              <w:widowControl/>
              <w:jc w:val="left"/>
              <w:rPr>
                <w:rFonts w:ascii="黑体" w:hAnsi="黑体" w:eastAsia="黑体" w:cs="宋体"/>
                <w:kern w:val="0"/>
                <w:sz w:val="20"/>
                <w:szCs w:val="20"/>
              </w:rPr>
            </w:pPr>
            <w:r>
              <w:rPr>
                <w:rFonts w:hint="eastAsia" w:ascii="黑体" w:hAnsi="黑体" w:eastAsia="黑体" w:cs="宋体"/>
                <w:kern w:val="0"/>
                <w:sz w:val="20"/>
                <w:szCs w:val="20"/>
              </w:rPr>
              <w:t>听力</w:t>
            </w:r>
          </w:p>
        </w:tc>
        <w:tc>
          <w:tcPr>
            <w:tcW w:w="640" w:type="dxa"/>
            <w:vMerge w:val="continue"/>
            <w:tcBorders>
              <w:top w:val="nil"/>
              <w:left w:val="single" w:color="auto" w:sz="4" w:space="0"/>
              <w:bottom w:val="single" w:color="auto" w:sz="4" w:space="0"/>
              <w:right w:val="single" w:color="auto" w:sz="4" w:space="0"/>
            </w:tcBorders>
            <w:vAlign w:val="center"/>
          </w:tcPr>
          <w:p>
            <w:pPr>
              <w:widowControl/>
              <w:jc w:val="left"/>
              <w:rPr>
                <w:rFonts w:ascii="黑体" w:hAnsi="黑体" w:eastAsia="黑体" w:cs="宋体"/>
                <w:kern w:val="0"/>
                <w:sz w:val="20"/>
                <w:szCs w:val="20"/>
              </w:rPr>
            </w:pPr>
          </w:p>
        </w:tc>
        <w:tc>
          <w:tcPr>
            <w:tcW w:w="640" w:type="dxa"/>
            <w:vMerge w:val="continue"/>
            <w:tcBorders>
              <w:top w:val="nil"/>
              <w:left w:val="single" w:color="auto" w:sz="4" w:space="0"/>
              <w:bottom w:val="single" w:color="auto" w:sz="4" w:space="0"/>
              <w:right w:val="single" w:color="auto" w:sz="4" w:space="0"/>
            </w:tcBorders>
            <w:vAlign w:val="center"/>
          </w:tcPr>
          <w:p>
            <w:pPr>
              <w:widowControl/>
              <w:jc w:val="left"/>
              <w:rPr>
                <w:rFonts w:ascii="黑体" w:hAnsi="黑体" w:eastAsia="黑体" w:cs="宋体"/>
                <w:kern w:val="0"/>
                <w:sz w:val="20"/>
                <w:szCs w:val="20"/>
              </w:rPr>
            </w:pPr>
          </w:p>
        </w:tc>
        <w:tc>
          <w:tcPr>
            <w:tcW w:w="640" w:type="dxa"/>
            <w:vMerge w:val="continue"/>
            <w:tcBorders>
              <w:top w:val="nil"/>
              <w:left w:val="single" w:color="auto" w:sz="4" w:space="0"/>
              <w:bottom w:val="single" w:color="auto" w:sz="4" w:space="0"/>
              <w:right w:val="single" w:color="auto" w:sz="4" w:space="0"/>
            </w:tcBorders>
            <w:vAlign w:val="center"/>
          </w:tcPr>
          <w:p>
            <w:pPr>
              <w:widowControl/>
              <w:jc w:val="left"/>
              <w:rPr>
                <w:rFonts w:ascii="黑体" w:hAnsi="黑体" w:eastAsia="黑体" w:cs="宋体"/>
                <w:kern w:val="0"/>
                <w:sz w:val="20"/>
                <w:szCs w:val="20"/>
              </w:rPr>
            </w:pPr>
          </w:p>
        </w:tc>
        <w:tc>
          <w:tcPr>
            <w:tcW w:w="5820" w:type="dxa"/>
            <w:vMerge w:val="continue"/>
            <w:tcBorders>
              <w:top w:val="nil"/>
              <w:left w:val="single" w:color="auto" w:sz="4" w:space="0"/>
              <w:bottom w:val="single" w:color="auto" w:sz="4" w:space="0"/>
            </w:tcBorders>
            <w:vAlign w:val="center"/>
          </w:tcPr>
          <w:p>
            <w:pPr>
              <w:widowControl/>
              <w:jc w:val="left"/>
              <w:rPr>
                <w:rFonts w:ascii="黑体" w:hAnsi="黑体" w:eastAsia="黑体" w:cs="宋体"/>
                <w:kern w:val="0"/>
                <w:sz w:val="20"/>
                <w:szCs w:val="20"/>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Layout w:type="fixed"/>
          <w:tblCellMar>
            <w:top w:w="0" w:type="dxa"/>
            <w:left w:w="108" w:type="dxa"/>
            <w:bottom w:w="0" w:type="dxa"/>
            <w:right w:w="108" w:type="dxa"/>
          </w:tblCellMar>
        </w:tblPrEx>
        <w:trPr>
          <w:trHeight w:val="720" w:hRule="atLeast"/>
        </w:trPr>
        <w:tc>
          <w:tcPr>
            <w:tcW w:w="861" w:type="dxa"/>
            <w:tcBorders>
              <w:top w:val="nil"/>
              <w:bottom w:val="single" w:color="auto" w:sz="4" w:space="0"/>
              <w:right w:val="single" w:color="auto" w:sz="4" w:space="0"/>
            </w:tcBorders>
            <w:shd w:val="clear" w:color="auto" w:fill="auto"/>
            <w:vAlign w:val="center"/>
          </w:tcPr>
          <w:p>
            <w:pPr>
              <w:widowControl/>
              <w:jc w:val="left"/>
              <w:rPr>
                <w:rFonts w:ascii="黑体" w:hAnsi="黑体" w:eastAsia="黑体" w:cs="宋体"/>
                <w:kern w:val="0"/>
                <w:sz w:val="20"/>
                <w:szCs w:val="20"/>
              </w:rPr>
            </w:pPr>
            <w:r>
              <w:rPr>
                <w:rFonts w:hint="eastAsia" w:ascii="黑体" w:hAnsi="黑体" w:eastAsia="黑体" w:cs="宋体"/>
                <w:kern w:val="0"/>
                <w:sz w:val="20"/>
                <w:szCs w:val="20"/>
              </w:rPr>
              <w:t>口腔科</w:t>
            </w:r>
          </w:p>
        </w:tc>
        <w:tc>
          <w:tcPr>
            <w:tcW w:w="1600" w:type="dxa"/>
            <w:tcBorders>
              <w:top w:val="nil"/>
              <w:left w:val="nil"/>
              <w:bottom w:val="single" w:color="auto" w:sz="4" w:space="0"/>
              <w:right w:val="single" w:color="auto" w:sz="4" w:space="0"/>
            </w:tcBorders>
            <w:shd w:val="clear" w:color="auto" w:fill="auto"/>
            <w:vAlign w:val="center"/>
          </w:tcPr>
          <w:p>
            <w:pPr>
              <w:widowControl/>
              <w:jc w:val="left"/>
              <w:rPr>
                <w:rFonts w:ascii="黑体" w:hAnsi="黑体" w:eastAsia="黑体" w:cs="宋体"/>
                <w:kern w:val="0"/>
                <w:sz w:val="20"/>
                <w:szCs w:val="20"/>
              </w:rPr>
            </w:pPr>
            <w:r>
              <w:rPr>
                <w:rFonts w:hint="eastAsia" w:ascii="黑体" w:hAnsi="黑体" w:eastAsia="黑体" w:cs="宋体"/>
                <w:kern w:val="0"/>
                <w:sz w:val="20"/>
                <w:szCs w:val="20"/>
              </w:rPr>
              <w:t>常规检查</w:t>
            </w:r>
          </w:p>
        </w:tc>
        <w:tc>
          <w:tcPr>
            <w:tcW w:w="640"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20"/>
                <w:szCs w:val="20"/>
              </w:rPr>
            </w:pPr>
            <w:r>
              <w:rPr>
                <w:rFonts w:hint="eastAsia" w:ascii="黑体" w:hAnsi="黑体" w:eastAsia="黑体" w:cs="宋体"/>
                <w:kern w:val="0"/>
                <w:sz w:val="20"/>
                <w:szCs w:val="20"/>
              </w:rPr>
              <w:t>●</w:t>
            </w:r>
          </w:p>
        </w:tc>
        <w:tc>
          <w:tcPr>
            <w:tcW w:w="640"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20"/>
                <w:szCs w:val="20"/>
              </w:rPr>
            </w:pPr>
            <w:r>
              <w:rPr>
                <w:rFonts w:hint="eastAsia" w:ascii="黑体" w:hAnsi="黑体" w:eastAsia="黑体" w:cs="宋体"/>
                <w:kern w:val="0"/>
                <w:sz w:val="20"/>
                <w:szCs w:val="20"/>
              </w:rPr>
              <w:t>●</w:t>
            </w:r>
          </w:p>
        </w:tc>
        <w:tc>
          <w:tcPr>
            <w:tcW w:w="640"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20"/>
                <w:szCs w:val="20"/>
              </w:rPr>
            </w:pPr>
            <w:r>
              <w:rPr>
                <w:rFonts w:hint="eastAsia" w:ascii="黑体" w:hAnsi="黑体" w:eastAsia="黑体" w:cs="宋体"/>
                <w:kern w:val="0"/>
                <w:sz w:val="20"/>
                <w:szCs w:val="20"/>
              </w:rPr>
              <w:t>●</w:t>
            </w:r>
          </w:p>
        </w:tc>
        <w:tc>
          <w:tcPr>
            <w:tcW w:w="5820" w:type="dxa"/>
            <w:tcBorders>
              <w:top w:val="nil"/>
              <w:left w:val="nil"/>
              <w:bottom w:val="single" w:color="auto" w:sz="4" w:space="0"/>
            </w:tcBorders>
            <w:shd w:val="clear" w:color="auto" w:fill="auto"/>
            <w:vAlign w:val="center"/>
          </w:tcPr>
          <w:p>
            <w:pPr>
              <w:widowControl/>
              <w:jc w:val="left"/>
              <w:rPr>
                <w:rFonts w:ascii="黑体" w:hAnsi="黑体" w:eastAsia="黑体" w:cs="宋体"/>
                <w:kern w:val="0"/>
                <w:sz w:val="20"/>
                <w:szCs w:val="20"/>
              </w:rPr>
            </w:pPr>
            <w:r>
              <w:rPr>
                <w:rFonts w:hint="eastAsia" w:ascii="黑体" w:hAnsi="黑体" w:eastAsia="黑体" w:cs="宋体"/>
                <w:kern w:val="0"/>
                <w:sz w:val="20"/>
                <w:szCs w:val="20"/>
              </w:rPr>
              <w:t xml:space="preserve">可检查牙龈、牙齿的形态、色彩和牙龈的质地、牙齿的稳定性、咬合关系等，了解口腔健康状况，对口腔相关疾病早期发现、早期诊断和早期治疗有重要意义。 </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Layout w:type="fixed"/>
        </w:tblPrEx>
        <w:trPr>
          <w:trHeight w:val="720" w:hRule="atLeast"/>
        </w:trPr>
        <w:tc>
          <w:tcPr>
            <w:tcW w:w="861" w:type="dxa"/>
            <w:tcBorders>
              <w:top w:val="nil"/>
              <w:bottom w:val="single" w:color="auto" w:sz="4" w:space="0"/>
              <w:right w:val="single" w:color="auto" w:sz="4" w:space="0"/>
            </w:tcBorders>
            <w:shd w:val="clear" w:color="auto" w:fill="auto"/>
            <w:vAlign w:val="center"/>
          </w:tcPr>
          <w:p>
            <w:pPr>
              <w:widowControl/>
              <w:jc w:val="left"/>
              <w:rPr>
                <w:rFonts w:ascii="黑体" w:hAnsi="黑体" w:eastAsia="黑体" w:cs="宋体"/>
                <w:kern w:val="0"/>
                <w:sz w:val="20"/>
                <w:szCs w:val="20"/>
              </w:rPr>
            </w:pPr>
            <w:r>
              <w:rPr>
                <w:rFonts w:hint="eastAsia" w:ascii="黑体" w:hAnsi="黑体" w:eastAsia="黑体" w:cs="宋体"/>
                <w:kern w:val="0"/>
                <w:sz w:val="20"/>
                <w:szCs w:val="20"/>
              </w:rPr>
              <w:t>心电图</w:t>
            </w:r>
          </w:p>
        </w:tc>
        <w:tc>
          <w:tcPr>
            <w:tcW w:w="1600" w:type="dxa"/>
            <w:tcBorders>
              <w:top w:val="nil"/>
              <w:left w:val="nil"/>
              <w:bottom w:val="single" w:color="auto" w:sz="4" w:space="0"/>
              <w:right w:val="single" w:color="auto" w:sz="4" w:space="0"/>
            </w:tcBorders>
            <w:shd w:val="clear" w:color="auto" w:fill="auto"/>
            <w:vAlign w:val="center"/>
          </w:tcPr>
          <w:p>
            <w:pPr>
              <w:widowControl/>
              <w:jc w:val="left"/>
              <w:rPr>
                <w:rFonts w:ascii="黑体" w:hAnsi="黑体" w:eastAsia="黑体" w:cs="宋体"/>
                <w:kern w:val="0"/>
                <w:sz w:val="20"/>
                <w:szCs w:val="20"/>
              </w:rPr>
            </w:pPr>
            <w:r>
              <w:rPr>
                <w:rFonts w:hint="eastAsia" w:ascii="黑体" w:hAnsi="黑体" w:eastAsia="黑体" w:cs="宋体"/>
                <w:kern w:val="0"/>
                <w:sz w:val="20"/>
                <w:szCs w:val="20"/>
              </w:rPr>
              <w:t>静态心电图</w:t>
            </w:r>
          </w:p>
        </w:tc>
        <w:tc>
          <w:tcPr>
            <w:tcW w:w="640"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20"/>
                <w:szCs w:val="20"/>
              </w:rPr>
            </w:pPr>
            <w:r>
              <w:rPr>
                <w:rFonts w:hint="eastAsia" w:ascii="黑体" w:hAnsi="黑体" w:eastAsia="黑体" w:cs="宋体"/>
                <w:kern w:val="0"/>
                <w:sz w:val="20"/>
                <w:szCs w:val="20"/>
              </w:rPr>
              <w:t>●</w:t>
            </w:r>
          </w:p>
        </w:tc>
        <w:tc>
          <w:tcPr>
            <w:tcW w:w="640"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20"/>
                <w:szCs w:val="20"/>
              </w:rPr>
            </w:pPr>
            <w:r>
              <w:rPr>
                <w:rFonts w:hint="eastAsia" w:ascii="黑体" w:hAnsi="黑体" w:eastAsia="黑体" w:cs="宋体"/>
                <w:kern w:val="0"/>
                <w:sz w:val="20"/>
                <w:szCs w:val="20"/>
              </w:rPr>
              <w:t>●</w:t>
            </w:r>
          </w:p>
        </w:tc>
        <w:tc>
          <w:tcPr>
            <w:tcW w:w="640"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20"/>
                <w:szCs w:val="20"/>
              </w:rPr>
            </w:pPr>
            <w:r>
              <w:rPr>
                <w:rFonts w:hint="eastAsia" w:ascii="黑体" w:hAnsi="黑体" w:eastAsia="黑体" w:cs="宋体"/>
                <w:kern w:val="0"/>
                <w:sz w:val="20"/>
                <w:szCs w:val="20"/>
              </w:rPr>
              <w:t>●</w:t>
            </w:r>
          </w:p>
        </w:tc>
        <w:tc>
          <w:tcPr>
            <w:tcW w:w="5820" w:type="dxa"/>
            <w:tcBorders>
              <w:top w:val="nil"/>
              <w:left w:val="nil"/>
              <w:bottom w:val="single" w:color="auto" w:sz="4" w:space="0"/>
            </w:tcBorders>
            <w:shd w:val="clear" w:color="auto" w:fill="auto"/>
            <w:vAlign w:val="center"/>
          </w:tcPr>
          <w:p>
            <w:pPr>
              <w:widowControl/>
              <w:jc w:val="left"/>
              <w:rPr>
                <w:rFonts w:ascii="黑体" w:hAnsi="黑体" w:eastAsia="黑体" w:cs="宋体"/>
                <w:kern w:val="0"/>
                <w:sz w:val="20"/>
                <w:szCs w:val="20"/>
              </w:rPr>
            </w:pPr>
            <w:r>
              <w:rPr>
                <w:rFonts w:hint="eastAsia" w:ascii="黑体" w:hAnsi="黑体" w:eastAsia="黑体" w:cs="宋体"/>
                <w:kern w:val="0"/>
                <w:sz w:val="20"/>
                <w:szCs w:val="20"/>
              </w:rPr>
              <w:t xml:space="preserve">通过仪器检测心肌电生理变化、分析图形，为诊断心肌埂塞、心律失常、心肌炎、心绞痛、束支传导阻滞、房室肥大、预激综合症、心包炎等各种心脏疾病提供准确的信息。 </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Layout w:type="fixed"/>
          <w:tblCellMar>
            <w:top w:w="0" w:type="dxa"/>
            <w:left w:w="108" w:type="dxa"/>
            <w:bottom w:w="0" w:type="dxa"/>
            <w:right w:w="108" w:type="dxa"/>
          </w:tblCellMar>
        </w:tblPrEx>
        <w:trPr>
          <w:trHeight w:val="270" w:hRule="atLeast"/>
        </w:trPr>
        <w:tc>
          <w:tcPr>
            <w:tcW w:w="2461" w:type="dxa"/>
            <w:gridSpan w:val="2"/>
            <w:tcBorders>
              <w:top w:val="single" w:color="auto" w:sz="4" w:space="0"/>
              <w:bottom w:val="single" w:color="auto" w:sz="4" w:space="0"/>
              <w:right w:val="single" w:color="auto" w:sz="4" w:space="0"/>
            </w:tcBorders>
            <w:shd w:val="clear" w:color="000000" w:fill="C0C0C0"/>
            <w:vAlign w:val="center"/>
          </w:tcPr>
          <w:p>
            <w:pPr>
              <w:widowControl/>
              <w:jc w:val="left"/>
              <w:rPr>
                <w:rFonts w:ascii="黑体" w:hAnsi="黑体" w:eastAsia="黑体" w:cs="宋体"/>
                <w:b/>
                <w:bCs/>
                <w:kern w:val="0"/>
                <w:sz w:val="20"/>
                <w:szCs w:val="20"/>
              </w:rPr>
            </w:pPr>
            <w:r>
              <w:rPr>
                <w:rFonts w:hint="eastAsia" w:ascii="黑体" w:hAnsi="黑体" w:eastAsia="黑体" w:cs="宋体"/>
                <w:b/>
                <w:bCs/>
                <w:kern w:val="0"/>
                <w:sz w:val="20"/>
                <w:szCs w:val="20"/>
              </w:rPr>
              <w:t>女性体检项目</w:t>
            </w:r>
          </w:p>
        </w:tc>
        <w:tc>
          <w:tcPr>
            <w:tcW w:w="640" w:type="dxa"/>
            <w:tcBorders>
              <w:top w:val="nil"/>
              <w:left w:val="nil"/>
              <w:bottom w:val="single" w:color="auto" w:sz="4" w:space="0"/>
              <w:right w:val="single" w:color="auto" w:sz="4" w:space="0"/>
            </w:tcBorders>
            <w:shd w:val="clear" w:color="000000" w:fill="C0C0C0"/>
            <w:vAlign w:val="center"/>
          </w:tcPr>
          <w:p>
            <w:pPr>
              <w:widowControl/>
              <w:jc w:val="center"/>
              <w:rPr>
                <w:rFonts w:ascii="黑体" w:hAnsi="黑体" w:eastAsia="黑体" w:cs="宋体"/>
                <w:kern w:val="0"/>
                <w:sz w:val="20"/>
                <w:szCs w:val="20"/>
              </w:rPr>
            </w:pPr>
            <w:r>
              <w:rPr>
                <w:rFonts w:hint="eastAsia" w:ascii="黑体" w:hAnsi="黑体" w:eastAsia="黑体" w:cs="宋体"/>
                <w:kern w:val="0"/>
                <w:sz w:val="20"/>
                <w:szCs w:val="20"/>
              </w:rPr>
              <w:t>　</w:t>
            </w:r>
          </w:p>
        </w:tc>
        <w:tc>
          <w:tcPr>
            <w:tcW w:w="640" w:type="dxa"/>
            <w:tcBorders>
              <w:top w:val="nil"/>
              <w:left w:val="nil"/>
              <w:bottom w:val="single" w:color="auto" w:sz="4" w:space="0"/>
              <w:right w:val="single" w:color="auto" w:sz="4" w:space="0"/>
            </w:tcBorders>
            <w:shd w:val="clear" w:color="000000" w:fill="C0C0C0"/>
            <w:vAlign w:val="center"/>
          </w:tcPr>
          <w:p>
            <w:pPr>
              <w:widowControl/>
              <w:jc w:val="center"/>
              <w:rPr>
                <w:rFonts w:ascii="黑体" w:hAnsi="黑体" w:eastAsia="黑体" w:cs="宋体"/>
                <w:kern w:val="0"/>
                <w:sz w:val="20"/>
                <w:szCs w:val="20"/>
              </w:rPr>
            </w:pPr>
            <w:r>
              <w:rPr>
                <w:rFonts w:hint="eastAsia" w:ascii="黑体" w:hAnsi="黑体" w:eastAsia="黑体" w:cs="宋体"/>
                <w:kern w:val="0"/>
                <w:sz w:val="20"/>
                <w:szCs w:val="20"/>
              </w:rPr>
              <w:t>　</w:t>
            </w:r>
          </w:p>
        </w:tc>
        <w:tc>
          <w:tcPr>
            <w:tcW w:w="640" w:type="dxa"/>
            <w:tcBorders>
              <w:top w:val="nil"/>
              <w:left w:val="nil"/>
              <w:bottom w:val="single" w:color="auto" w:sz="4" w:space="0"/>
              <w:right w:val="single" w:color="auto" w:sz="4" w:space="0"/>
            </w:tcBorders>
            <w:shd w:val="clear" w:color="000000" w:fill="C0C0C0"/>
            <w:vAlign w:val="center"/>
          </w:tcPr>
          <w:p>
            <w:pPr>
              <w:widowControl/>
              <w:jc w:val="center"/>
              <w:rPr>
                <w:rFonts w:ascii="黑体" w:hAnsi="黑体" w:eastAsia="黑体" w:cs="宋体"/>
                <w:kern w:val="0"/>
                <w:sz w:val="20"/>
                <w:szCs w:val="20"/>
              </w:rPr>
            </w:pPr>
            <w:r>
              <w:rPr>
                <w:rFonts w:hint="eastAsia" w:ascii="黑体" w:hAnsi="黑体" w:eastAsia="黑体" w:cs="宋体"/>
                <w:kern w:val="0"/>
                <w:sz w:val="20"/>
                <w:szCs w:val="20"/>
              </w:rPr>
              <w:t>　</w:t>
            </w:r>
          </w:p>
        </w:tc>
        <w:tc>
          <w:tcPr>
            <w:tcW w:w="5820" w:type="dxa"/>
            <w:tcBorders>
              <w:top w:val="nil"/>
              <w:left w:val="nil"/>
              <w:bottom w:val="single" w:color="auto" w:sz="4" w:space="0"/>
            </w:tcBorders>
            <w:shd w:val="clear" w:color="000000" w:fill="C0C0C0"/>
            <w:vAlign w:val="center"/>
          </w:tcPr>
          <w:p>
            <w:pPr>
              <w:widowControl/>
              <w:jc w:val="left"/>
              <w:rPr>
                <w:rFonts w:ascii="黑体" w:hAnsi="黑体" w:eastAsia="黑体" w:cs="宋体"/>
                <w:kern w:val="0"/>
                <w:sz w:val="20"/>
                <w:szCs w:val="20"/>
              </w:rPr>
            </w:pPr>
            <w:r>
              <w:rPr>
                <w:rFonts w:hint="eastAsia" w:ascii="黑体" w:hAnsi="黑体" w:eastAsia="黑体" w:cs="宋体"/>
                <w:kern w:val="0"/>
                <w:sz w:val="20"/>
                <w:szCs w:val="20"/>
              </w:rPr>
              <w:t>　</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Layout w:type="fixed"/>
          <w:tblCellMar>
            <w:top w:w="0" w:type="dxa"/>
            <w:left w:w="108" w:type="dxa"/>
            <w:bottom w:w="0" w:type="dxa"/>
            <w:right w:w="108" w:type="dxa"/>
          </w:tblCellMar>
        </w:tblPrEx>
        <w:trPr>
          <w:trHeight w:val="960" w:hRule="atLeast"/>
        </w:trPr>
        <w:tc>
          <w:tcPr>
            <w:tcW w:w="861" w:type="dxa"/>
            <w:vMerge w:val="restart"/>
            <w:tcBorders>
              <w:top w:val="nil"/>
              <w:bottom w:val="single" w:color="auto" w:sz="4" w:space="0"/>
              <w:right w:val="single" w:color="auto" w:sz="4" w:space="0"/>
            </w:tcBorders>
            <w:shd w:val="clear" w:color="auto" w:fill="auto"/>
            <w:vAlign w:val="center"/>
          </w:tcPr>
          <w:p>
            <w:pPr>
              <w:widowControl/>
              <w:jc w:val="left"/>
              <w:rPr>
                <w:rFonts w:ascii="黑体" w:hAnsi="黑体" w:eastAsia="黑体" w:cs="宋体"/>
                <w:kern w:val="0"/>
                <w:sz w:val="20"/>
                <w:szCs w:val="20"/>
              </w:rPr>
            </w:pPr>
            <w:r>
              <w:rPr>
                <w:rFonts w:hint="eastAsia" w:ascii="黑体" w:hAnsi="黑体" w:eastAsia="黑体" w:cs="宋体"/>
                <w:kern w:val="0"/>
                <w:sz w:val="20"/>
                <w:szCs w:val="20"/>
              </w:rPr>
              <w:t>妇科检查</w:t>
            </w:r>
          </w:p>
        </w:tc>
        <w:tc>
          <w:tcPr>
            <w:tcW w:w="1600" w:type="dxa"/>
            <w:tcBorders>
              <w:top w:val="nil"/>
              <w:left w:val="nil"/>
              <w:bottom w:val="single" w:color="auto" w:sz="4" w:space="0"/>
              <w:right w:val="single" w:color="auto" w:sz="4" w:space="0"/>
            </w:tcBorders>
            <w:shd w:val="clear" w:color="auto" w:fill="auto"/>
            <w:vAlign w:val="center"/>
          </w:tcPr>
          <w:p>
            <w:pPr>
              <w:widowControl/>
              <w:jc w:val="left"/>
              <w:rPr>
                <w:rFonts w:ascii="黑体" w:hAnsi="黑体" w:eastAsia="黑体" w:cs="宋体"/>
                <w:kern w:val="0"/>
                <w:sz w:val="20"/>
                <w:szCs w:val="20"/>
              </w:rPr>
            </w:pPr>
            <w:r>
              <w:rPr>
                <w:rFonts w:hint="eastAsia" w:ascii="黑体" w:hAnsi="黑体" w:eastAsia="黑体" w:cs="宋体"/>
                <w:kern w:val="0"/>
                <w:sz w:val="20"/>
                <w:szCs w:val="20"/>
              </w:rPr>
              <w:t>常规检查&lt;必选&gt;</w:t>
            </w:r>
          </w:p>
        </w:tc>
        <w:tc>
          <w:tcPr>
            <w:tcW w:w="640"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20"/>
                <w:szCs w:val="20"/>
              </w:rPr>
            </w:pPr>
            <w:r>
              <w:rPr>
                <w:rFonts w:hint="eastAsia" w:ascii="黑体" w:hAnsi="黑体" w:eastAsia="黑体" w:cs="宋体"/>
                <w:kern w:val="0"/>
                <w:sz w:val="20"/>
                <w:szCs w:val="20"/>
              </w:rPr>
              <w:t>　</w:t>
            </w:r>
          </w:p>
        </w:tc>
        <w:tc>
          <w:tcPr>
            <w:tcW w:w="640"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20"/>
                <w:szCs w:val="20"/>
              </w:rPr>
            </w:pPr>
            <w:r>
              <w:rPr>
                <w:rFonts w:hint="eastAsia" w:ascii="黑体" w:hAnsi="黑体" w:eastAsia="黑体" w:cs="宋体"/>
                <w:kern w:val="0"/>
                <w:sz w:val="20"/>
                <w:szCs w:val="20"/>
              </w:rPr>
              <w:t>　</w:t>
            </w:r>
          </w:p>
        </w:tc>
        <w:tc>
          <w:tcPr>
            <w:tcW w:w="640"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20"/>
                <w:szCs w:val="20"/>
              </w:rPr>
            </w:pPr>
            <w:r>
              <w:rPr>
                <w:rFonts w:hint="eastAsia" w:ascii="黑体" w:hAnsi="黑体" w:eastAsia="黑体" w:cs="宋体"/>
                <w:kern w:val="0"/>
                <w:sz w:val="20"/>
                <w:szCs w:val="20"/>
              </w:rPr>
              <w:t>●</w:t>
            </w:r>
          </w:p>
        </w:tc>
        <w:tc>
          <w:tcPr>
            <w:tcW w:w="5820" w:type="dxa"/>
            <w:tcBorders>
              <w:top w:val="nil"/>
              <w:left w:val="nil"/>
              <w:bottom w:val="single" w:color="auto" w:sz="4" w:space="0"/>
            </w:tcBorders>
            <w:shd w:val="clear" w:color="auto" w:fill="auto"/>
            <w:vAlign w:val="center"/>
          </w:tcPr>
          <w:p>
            <w:pPr>
              <w:widowControl/>
              <w:jc w:val="left"/>
              <w:rPr>
                <w:rFonts w:ascii="黑体" w:hAnsi="黑体" w:eastAsia="黑体" w:cs="宋体"/>
                <w:kern w:val="0"/>
                <w:sz w:val="20"/>
                <w:szCs w:val="20"/>
              </w:rPr>
            </w:pPr>
            <w:r>
              <w:rPr>
                <w:rFonts w:hint="eastAsia" w:ascii="黑体" w:hAnsi="黑体" w:eastAsia="黑体" w:cs="宋体"/>
                <w:kern w:val="0"/>
                <w:sz w:val="20"/>
                <w:szCs w:val="20"/>
              </w:rPr>
              <w:t>首先查看外阴有无皮肤病、水肿、白斑等；其次用器械检查阴道及宫颈：阴道有无出血、溃疡；有无宫颈炎症、宫颈糜烂等；第三是触摸检查子宫大小、形态、位置以及活动度是否正常；第四是检查双侧附件有无肿块及压痛等。</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Layout w:type="fixed"/>
          <w:tblCellMar>
            <w:top w:w="0" w:type="dxa"/>
            <w:left w:w="108" w:type="dxa"/>
            <w:bottom w:w="0" w:type="dxa"/>
            <w:right w:w="108" w:type="dxa"/>
          </w:tblCellMar>
        </w:tblPrEx>
        <w:trPr>
          <w:trHeight w:val="1380" w:hRule="atLeast"/>
        </w:trPr>
        <w:tc>
          <w:tcPr>
            <w:tcW w:w="861" w:type="dxa"/>
            <w:vMerge w:val="continue"/>
            <w:tcBorders>
              <w:top w:val="nil"/>
              <w:bottom w:val="single" w:color="auto" w:sz="4" w:space="0"/>
              <w:right w:val="single" w:color="auto" w:sz="4" w:space="0"/>
            </w:tcBorders>
            <w:vAlign w:val="center"/>
          </w:tcPr>
          <w:p>
            <w:pPr>
              <w:widowControl/>
              <w:jc w:val="left"/>
              <w:rPr>
                <w:rFonts w:ascii="黑体" w:hAnsi="黑体" w:eastAsia="黑体" w:cs="宋体"/>
                <w:kern w:val="0"/>
                <w:sz w:val="20"/>
                <w:szCs w:val="20"/>
              </w:rPr>
            </w:pPr>
          </w:p>
        </w:tc>
        <w:tc>
          <w:tcPr>
            <w:tcW w:w="1600" w:type="dxa"/>
            <w:tcBorders>
              <w:top w:val="nil"/>
              <w:left w:val="nil"/>
              <w:bottom w:val="single" w:color="auto" w:sz="4" w:space="0"/>
              <w:right w:val="single" w:color="auto" w:sz="4" w:space="0"/>
            </w:tcBorders>
            <w:shd w:val="clear" w:color="auto" w:fill="auto"/>
            <w:vAlign w:val="center"/>
          </w:tcPr>
          <w:p>
            <w:pPr>
              <w:widowControl/>
              <w:jc w:val="left"/>
              <w:rPr>
                <w:rFonts w:ascii="黑体" w:hAnsi="黑体" w:eastAsia="黑体" w:cs="宋体"/>
                <w:color w:val="FF0000"/>
                <w:kern w:val="0"/>
                <w:sz w:val="20"/>
                <w:szCs w:val="20"/>
              </w:rPr>
            </w:pPr>
            <w:r>
              <w:rPr>
                <w:rFonts w:hint="eastAsia" w:ascii="黑体" w:hAnsi="黑体" w:eastAsia="黑体" w:cs="宋体"/>
                <w:color w:val="FF0000"/>
                <w:kern w:val="0"/>
                <w:sz w:val="20"/>
                <w:szCs w:val="20"/>
              </w:rPr>
              <w:t>人类乳头瘤病毒23种型别DNA定性检测（HPV23分型）</w:t>
            </w:r>
          </w:p>
        </w:tc>
        <w:tc>
          <w:tcPr>
            <w:tcW w:w="640"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color w:val="FF0000"/>
                <w:kern w:val="0"/>
                <w:sz w:val="20"/>
                <w:szCs w:val="20"/>
              </w:rPr>
            </w:pPr>
            <w:r>
              <w:rPr>
                <w:rFonts w:hint="eastAsia" w:ascii="黑体" w:hAnsi="黑体" w:eastAsia="黑体" w:cs="宋体"/>
                <w:color w:val="FF0000"/>
                <w:kern w:val="0"/>
                <w:sz w:val="20"/>
                <w:szCs w:val="20"/>
              </w:rPr>
              <w:t>　</w:t>
            </w:r>
          </w:p>
        </w:tc>
        <w:tc>
          <w:tcPr>
            <w:tcW w:w="640"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color w:val="FF0000"/>
                <w:kern w:val="0"/>
                <w:sz w:val="20"/>
                <w:szCs w:val="20"/>
              </w:rPr>
            </w:pPr>
            <w:r>
              <w:rPr>
                <w:rFonts w:hint="eastAsia" w:ascii="黑体" w:hAnsi="黑体" w:eastAsia="黑体" w:cs="宋体"/>
                <w:color w:val="FF0000"/>
                <w:kern w:val="0"/>
                <w:sz w:val="20"/>
                <w:szCs w:val="20"/>
              </w:rPr>
              <w:t>　</w:t>
            </w:r>
          </w:p>
        </w:tc>
        <w:tc>
          <w:tcPr>
            <w:tcW w:w="640"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color w:val="FF0000"/>
                <w:kern w:val="0"/>
                <w:sz w:val="20"/>
                <w:szCs w:val="20"/>
              </w:rPr>
            </w:pPr>
            <w:r>
              <w:rPr>
                <w:rFonts w:hint="eastAsia" w:ascii="黑体" w:hAnsi="黑体" w:eastAsia="黑体" w:cs="宋体"/>
                <w:color w:val="FF0000"/>
                <w:kern w:val="0"/>
                <w:sz w:val="20"/>
                <w:szCs w:val="20"/>
              </w:rPr>
              <w:t>●</w:t>
            </w:r>
          </w:p>
        </w:tc>
        <w:tc>
          <w:tcPr>
            <w:tcW w:w="5820" w:type="dxa"/>
            <w:tcBorders>
              <w:top w:val="nil"/>
              <w:left w:val="nil"/>
              <w:bottom w:val="single" w:color="auto" w:sz="4" w:space="0"/>
            </w:tcBorders>
            <w:shd w:val="clear" w:color="auto" w:fill="auto"/>
            <w:vAlign w:val="center"/>
          </w:tcPr>
          <w:p>
            <w:pPr>
              <w:widowControl/>
              <w:jc w:val="left"/>
              <w:rPr>
                <w:rFonts w:ascii="黑体" w:hAnsi="黑体" w:eastAsia="黑体" w:cs="宋体"/>
                <w:color w:val="FF0000"/>
                <w:kern w:val="0"/>
                <w:sz w:val="20"/>
                <w:szCs w:val="20"/>
              </w:rPr>
            </w:pPr>
            <w:r>
              <w:rPr>
                <w:rFonts w:hint="eastAsia" w:ascii="黑体" w:hAnsi="黑体" w:eastAsia="黑体" w:cs="宋体"/>
                <w:color w:val="FF0000"/>
                <w:kern w:val="0"/>
                <w:sz w:val="20"/>
                <w:szCs w:val="20"/>
              </w:rPr>
              <w:t>宫颈癌高风险人群筛查。</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Layout w:type="fixed"/>
          <w:tblCellMar>
            <w:top w:w="0" w:type="dxa"/>
            <w:left w:w="108" w:type="dxa"/>
            <w:bottom w:w="0" w:type="dxa"/>
            <w:right w:w="108" w:type="dxa"/>
          </w:tblCellMar>
        </w:tblPrEx>
        <w:trPr>
          <w:trHeight w:val="960" w:hRule="atLeast"/>
        </w:trPr>
        <w:tc>
          <w:tcPr>
            <w:tcW w:w="861" w:type="dxa"/>
            <w:vMerge w:val="continue"/>
            <w:tcBorders>
              <w:top w:val="nil"/>
              <w:bottom w:val="single" w:color="auto" w:sz="4" w:space="0"/>
              <w:right w:val="single" w:color="auto" w:sz="4" w:space="0"/>
            </w:tcBorders>
            <w:vAlign w:val="center"/>
          </w:tcPr>
          <w:p>
            <w:pPr>
              <w:widowControl/>
              <w:jc w:val="left"/>
              <w:rPr>
                <w:rFonts w:ascii="黑体" w:hAnsi="黑体" w:eastAsia="黑体" w:cs="宋体"/>
                <w:kern w:val="0"/>
                <w:sz w:val="20"/>
                <w:szCs w:val="20"/>
              </w:rPr>
            </w:pPr>
          </w:p>
        </w:tc>
        <w:tc>
          <w:tcPr>
            <w:tcW w:w="1600" w:type="dxa"/>
            <w:tcBorders>
              <w:top w:val="nil"/>
              <w:left w:val="nil"/>
              <w:bottom w:val="single" w:color="auto" w:sz="4" w:space="0"/>
              <w:right w:val="single" w:color="auto" w:sz="4" w:space="0"/>
            </w:tcBorders>
            <w:shd w:val="clear" w:color="auto" w:fill="auto"/>
            <w:vAlign w:val="center"/>
          </w:tcPr>
          <w:p>
            <w:pPr>
              <w:widowControl/>
              <w:jc w:val="left"/>
              <w:rPr>
                <w:rFonts w:ascii="黑体" w:hAnsi="黑体" w:eastAsia="黑体" w:cs="宋体"/>
                <w:color w:val="FF0000"/>
                <w:kern w:val="0"/>
                <w:sz w:val="20"/>
                <w:szCs w:val="20"/>
              </w:rPr>
            </w:pPr>
            <w:r>
              <w:rPr>
                <w:rFonts w:hint="eastAsia" w:ascii="黑体" w:hAnsi="黑体" w:eastAsia="黑体" w:cs="宋体"/>
                <w:color w:val="FF0000"/>
                <w:kern w:val="0"/>
                <w:sz w:val="20"/>
                <w:szCs w:val="20"/>
              </w:rPr>
              <w:t>TCT</w:t>
            </w:r>
          </w:p>
        </w:tc>
        <w:tc>
          <w:tcPr>
            <w:tcW w:w="640"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color w:val="FF0000"/>
                <w:kern w:val="0"/>
                <w:sz w:val="20"/>
                <w:szCs w:val="20"/>
              </w:rPr>
            </w:pPr>
            <w:r>
              <w:rPr>
                <w:rFonts w:hint="eastAsia" w:ascii="黑体" w:hAnsi="黑体" w:eastAsia="黑体" w:cs="宋体"/>
                <w:color w:val="FF0000"/>
                <w:kern w:val="0"/>
                <w:sz w:val="20"/>
                <w:szCs w:val="20"/>
              </w:rPr>
              <w:t>　</w:t>
            </w:r>
          </w:p>
        </w:tc>
        <w:tc>
          <w:tcPr>
            <w:tcW w:w="640"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color w:val="FF0000"/>
                <w:kern w:val="0"/>
                <w:sz w:val="20"/>
                <w:szCs w:val="20"/>
              </w:rPr>
            </w:pPr>
            <w:r>
              <w:rPr>
                <w:rFonts w:hint="eastAsia" w:ascii="黑体" w:hAnsi="黑体" w:eastAsia="黑体" w:cs="宋体"/>
                <w:color w:val="FF0000"/>
                <w:kern w:val="0"/>
                <w:sz w:val="20"/>
                <w:szCs w:val="20"/>
              </w:rPr>
              <w:t>　</w:t>
            </w:r>
          </w:p>
        </w:tc>
        <w:tc>
          <w:tcPr>
            <w:tcW w:w="640"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color w:val="FF0000"/>
                <w:kern w:val="0"/>
                <w:sz w:val="20"/>
                <w:szCs w:val="20"/>
              </w:rPr>
            </w:pPr>
            <w:r>
              <w:rPr>
                <w:rFonts w:hint="eastAsia" w:ascii="黑体" w:hAnsi="黑体" w:eastAsia="黑体" w:cs="宋体"/>
                <w:color w:val="FF0000"/>
                <w:kern w:val="0"/>
                <w:sz w:val="20"/>
                <w:szCs w:val="20"/>
              </w:rPr>
              <w:t>●</w:t>
            </w:r>
          </w:p>
        </w:tc>
        <w:tc>
          <w:tcPr>
            <w:tcW w:w="5820" w:type="dxa"/>
            <w:tcBorders>
              <w:top w:val="nil"/>
              <w:left w:val="nil"/>
              <w:bottom w:val="single" w:color="auto" w:sz="4" w:space="0"/>
            </w:tcBorders>
            <w:shd w:val="clear" w:color="auto" w:fill="auto"/>
            <w:vAlign w:val="center"/>
          </w:tcPr>
          <w:p>
            <w:pPr>
              <w:widowControl/>
              <w:jc w:val="left"/>
              <w:rPr>
                <w:rFonts w:ascii="黑体" w:hAnsi="黑体" w:eastAsia="黑体" w:cs="宋体"/>
                <w:color w:val="FF0000"/>
                <w:kern w:val="0"/>
                <w:sz w:val="20"/>
                <w:szCs w:val="20"/>
              </w:rPr>
            </w:pPr>
            <w:r>
              <w:rPr>
                <w:rFonts w:hint="eastAsia" w:ascii="黑体" w:hAnsi="黑体" w:eastAsia="黑体" w:cs="宋体"/>
                <w:color w:val="FF0000"/>
                <w:kern w:val="0"/>
                <w:sz w:val="20"/>
                <w:szCs w:val="20"/>
              </w:rPr>
              <w:t>用细胞采集刷取宫颈管内脱落细胞，应用电脑制片、人工阅片，在细胞学的基础上筛查早期宫颈癌，阳性率高，是目前用于诊断宫颈癌的方法。</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Layout w:type="fixed"/>
          <w:tblCellMar>
            <w:top w:w="0" w:type="dxa"/>
            <w:left w:w="108" w:type="dxa"/>
            <w:bottom w:w="0" w:type="dxa"/>
            <w:right w:w="108" w:type="dxa"/>
          </w:tblCellMar>
        </w:tblPrEx>
        <w:trPr>
          <w:trHeight w:val="270" w:hRule="atLeast"/>
        </w:trPr>
        <w:tc>
          <w:tcPr>
            <w:tcW w:w="2461" w:type="dxa"/>
            <w:gridSpan w:val="2"/>
            <w:tcBorders>
              <w:top w:val="single" w:color="auto" w:sz="4" w:space="0"/>
              <w:bottom w:val="single" w:color="auto" w:sz="4" w:space="0"/>
              <w:right w:val="single" w:color="auto" w:sz="4" w:space="0"/>
            </w:tcBorders>
            <w:shd w:val="clear" w:color="000000" w:fill="C0C0C0"/>
            <w:vAlign w:val="center"/>
          </w:tcPr>
          <w:p>
            <w:pPr>
              <w:widowControl/>
              <w:jc w:val="left"/>
              <w:rPr>
                <w:rFonts w:ascii="黑体" w:hAnsi="黑体" w:eastAsia="黑体" w:cs="宋体"/>
                <w:b/>
                <w:bCs/>
                <w:kern w:val="0"/>
                <w:sz w:val="20"/>
                <w:szCs w:val="20"/>
              </w:rPr>
            </w:pPr>
            <w:r>
              <w:rPr>
                <w:rFonts w:hint="eastAsia" w:ascii="黑体" w:hAnsi="黑体" w:eastAsia="黑体" w:cs="宋体"/>
                <w:b/>
                <w:bCs/>
                <w:kern w:val="0"/>
                <w:sz w:val="20"/>
                <w:szCs w:val="20"/>
              </w:rPr>
              <w:t>血液检查</w:t>
            </w:r>
          </w:p>
        </w:tc>
        <w:tc>
          <w:tcPr>
            <w:tcW w:w="640" w:type="dxa"/>
            <w:tcBorders>
              <w:top w:val="nil"/>
              <w:left w:val="nil"/>
              <w:bottom w:val="single" w:color="auto" w:sz="4" w:space="0"/>
              <w:right w:val="single" w:color="auto" w:sz="4" w:space="0"/>
            </w:tcBorders>
            <w:shd w:val="clear" w:color="000000" w:fill="C0C0C0"/>
            <w:vAlign w:val="center"/>
          </w:tcPr>
          <w:p>
            <w:pPr>
              <w:widowControl/>
              <w:jc w:val="center"/>
              <w:rPr>
                <w:rFonts w:ascii="黑体" w:hAnsi="黑体" w:eastAsia="黑体" w:cs="宋体"/>
                <w:kern w:val="0"/>
                <w:sz w:val="20"/>
                <w:szCs w:val="20"/>
              </w:rPr>
            </w:pPr>
            <w:r>
              <w:rPr>
                <w:rFonts w:hint="eastAsia" w:ascii="黑体" w:hAnsi="黑体" w:eastAsia="黑体" w:cs="宋体"/>
                <w:kern w:val="0"/>
                <w:sz w:val="20"/>
                <w:szCs w:val="20"/>
              </w:rPr>
              <w:t>　</w:t>
            </w:r>
          </w:p>
        </w:tc>
        <w:tc>
          <w:tcPr>
            <w:tcW w:w="640" w:type="dxa"/>
            <w:tcBorders>
              <w:top w:val="nil"/>
              <w:left w:val="nil"/>
              <w:bottom w:val="single" w:color="auto" w:sz="4" w:space="0"/>
              <w:right w:val="single" w:color="auto" w:sz="4" w:space="0"/>
            </w:tcBorders>
            <w:shd w:val="clear" w:color="000000" w:fill="C0C0C0"/>
            <w:vAlign w:val="center"/>
          </w:tcPr>
          <w:p>
            <w:pPr>
              <w:widowControl/>
              <w:jc w:val="center"/>
              <w:rPr>
                <w:rFonts w:ascii="黑体" w:hAnsi="黑体" w:eastAsia="黑体" w:cs="宋体"/>
                <w:kern w:val="0"/>
                <w:sz w:val="20"/>
                <w:szCs w:val="20"/>
              </w:rPr>
            </w:pPr>
            <w:r>
              <w:rPr>
                <w:rFonts w:hint="eastAsia" w:ascii="黑体" w:hAnsi="黑体" w:eastAsia="黑体" w:cs="宋体"/>
                <w:kern w:val="0"/>
                <w:sz w:val="20"/>
                <w:szCs w:val="20"/>
              </w:rPr>
              <w:t>　</w:t>
            </w:r>
          </w:p>
        </w:tc>
        <w:tc>
          <w:tcPr>
            <w:tcW w:w="640" w:type="dxa"/>
            <w:tcBorders>
              <w:top w:val="nil"/>
              <w:left w:val="nil"/>
              <w:bottom w:val="single" w:color="auto" w:sz="4" w:space="0"/>
              <w:right w:val="single" w:color="auto" w:sz="4" w:space="0"/>
            </w:tcBorders>
            <w:shd w:val="clear" w:color="000000" w:fill="C0C0C0"/>
            <w:vAlign w:val="center"/>
          </w:tcPr>
          <w:p>
            <w:pPr>
              <w:widowControl/>
              <w:jc w:val="center"/>
              <w:rPr>
                <w:rFonts w:ascii="黑体" w:hAnsi="黑体" w:eastAsia="黑体" w:cs="宋体"/>
                <w:kern w:val="0"/>
                <w:sz w:val="20"/>
                <w:szCs w:val="20"/>
              </w:rPr>
            </w:pPr>
            <w:r>
              <w:rPr>
                <w:rFonts w:hint="eastAsia" w:ascii="黑体" w:hAnsi="黑体" w:eastAsia="黑体" w:cs="宋体"/>
                <w:kern w:val="0"/>
                <w:sz w:val="20"/>
                <w:szCs w:val="20"/>
              </w:rPr>
              <w:t>　</w:t>
            </w:r>
          </w:p>
        </w:tc>
        <w:tc>
          <w:tcPr>
            <w:tcW w:w="5820" w:type="dxa"/>
            <w:tcBorders>
              <w:top w:val="nil"/>
              <w:left w:val="nil"/>
              <w:bottom w:val="single" w:color="auto" w:sz="4" w:space="0"/>
            </w:tcBorders>
            <w:shd w:val="clear" w:color="000000" w:fill="C0C0C0"/>
            <w:vAlign w:val="center"/>
          </w:tcPr>
          <w:p>
            <w:pPr>
              <w:widowControl/>
              <w:jc w:val="left"/>
              <w:rPr>
                <w:rFonts w:ascii="黑体" w:hAnsi="黑体" w:eastAsia="黑体" w:cs="宋体"/>
                <w:kern w:val="0"/>
                <w:sz w:val="20"/>
                <w:szCs w:val="20"/>
              </w:rPr>
            </w:pPr>
            <w:r>
              <w:rPr>
                <w:rFonts w:hint="eastAsia" w:ascii="黑体" w:hAnsi="黑体" w:eastAsia="黑体" w:cs="宋体"/>
                <w:kern w:val="0"/>
                <w:sz w:val="20"/>
                <w:szCs w:val="20"/>
              </w:rPr>
              <w:t>　</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Layout w:type="fixed"/>
        </w:tblPrEx>
        <w:trPr>
          <w:trHeight w:val="285" w:hRule="atLeast"/>
        </w:trPr>
        <w:tc>
          <w:tcPr>
            <w:tcW w:w="2461" w:type="dxa"/>
            <w:gridSpan w:val="2"/>
            <w:tcBorders>
              <w:top w:val="single" w:color="auto" w:sz="4" w:space="0"/>
              <w:bottom w:val="single" w:color="auto" w:sz="4" w:space="0"/>
              <w:right w:val="single" w:color="auto" w:sz="4" w:space="0"/>
            </w:tcBorders>
            <w:shd w:val="clear" w:color="auto" w:fill="auto"/>
            <w:vAlign w:val="center"/>
          </w:tcPr>
          <w:p>
            <w:pPr>
              <w:widowControl/>
              <w:jc w:val="left"/>
              <w:rPr>
                <w:rFonts w:ascii="黑体" w:hAnsi="黑体" w:eastAsia="黑体" w:cs="宋体"/>
                <w:kern w:val="0"/>
                <w:sz w:val="20"/>
                <w:szCs w:val="20"/>
              </w:rPr>
            </w:pPr>
            <w:r>
              <w:rPr>
                <w:rFonts w:hint="eastAsia" w:ascii="黑体" w:hAnsi="黑体" w:eastAsia="黑体" w:cs="宋体"/>
                <w:kern w:val="0"/>
                <w:sz w:val="20"/>
                <w:szCs w:val="20"/>
              </w:rPr>
              <w:t>抽血</w:t>
            </w:r>
          </w:p>
        </w:tc>
        <w:tc>
          <w:tcPr>
            <w:tcW w:w="640"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20"/>
                <w:szCs w:val="20"/>
              </w:rPr>
            </w:pPr>
            <w:r>
              <w:rPr>
                <w:rFonts w:hint="eastAsia" w:ascii="黑体" w:hAnsi="黑体" w:eastAsia="黑体" w:cs="宋体"/>
                <w:kern w:val="0"/>
                <w:sz w:val="20"/>
                <w:szCs w:val="20"/>
              </w:rPr>
              <w:t>●</w:t>
            </w:r>
          </w:p>
        </w:tc>
        <w:tc>
          <w:tcPr>
            <w:tcW w:w="640"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20"/>
                <w:szCs w:val="20"/>
              </w:rPr>
            </w:pPr>
            <w:r>
              <w:rPr>
                <w:rFonts w:hint="eastAsia" w:ascii="黑体" w:hAnsi="黑体" w:eastAsia="黑体" w:cs="宋体"/>
                <w:kern w:val="0"/>
                <w:sz w:val="20"/>
                <w:szCs w:val="20"/>
              </w:rPr>
              <w:t>●</w:t>
            </w:r>
          </w:p>
        </w:tc>
        <w:tc>
          <w:tcPr>
            <w:tcW w:w="640"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20"/>
                <w:szCs w:val="20"/>
              </w:rPr>
            </w:pPr>
            <w:r>
              <w:rPr>
                <w:rFonts w:hint="eastAsia" w:ascii="黑体" w:hAnsi="黑体" w:eastAsia="黑体" w:cs="宋体"/>
                <w:kern w:val="0"/>
                <w:sz w:val="20"/>
                <w:szCs w:val="20"/>
              </w:rPr>
              <w:t>●</w:t>
            </w:r>
          </w:p>
        </w:tc>
        <w:tc>
          <w:tcPr>
            <w:tcW w:w="5820" w:type="dxa"/>
            <w:tcBorders>
              <w:top w:val="nil"/>
              <w:left w:val="nil"/>
              <w:bottom w:val="single" w:color="auto" w:sz="4" w:space="0"/>
            </w:tcBorders>
            <w:shd w:val="clear" w:color="auto" w:fill="auto"/>
            <w:vAlign w:val="center"/>
          </w:tcPr>
          <w:p>
            <w:pPr>
              <w:widowControl/>
              <w:jc w:val="left"/>
              <w:rPr>
                <w:rFonts w:ascii="黑体" w:hAnsi="黑体" w:eastAsia="黑体" w:cs="宋体"/>
                <w:kern w:val="0"/>
                <w:sz w:val="20"/>
                <w:szCs w:val="20"/>
              </w:rPr>
            </w:pPr>
            <w:r>
              <w:rPr>
                <w:rFonts w:hint="eastAsia" w:ascii="黑体" w:hAnsi="黑体" w:eastAsia="黑体" w:cs="宋体"/>
                <w:kern w:val="0"/>
                <w:sz w:val="20"/>
                <w:szCs w:val="20"/>
              </w:rPr>
              <w:t>　</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Layout w:type="fixed"/>
          <w:tblCellMar>
            <w:top w:w="0" w:type="dxa"/>
            <w:left w:w="108" w:type="dxa"/>
            <w:bottom w:w="0" w:type="dxa"/>
            <w:right w:w="108" w:type="dxa"/>
          </w:tblCellMar>
        </w:tblPrEx>
        <w:trPr>
          <w:trHeight w:val="259" w:hRule="atLeast"/>
        </w:trPr>
        <w:tc>
          <w:tcPr>
            <w:tcW w:w="861" w:type="dxa"/>
            <w:vMerge w:val="restart"/>
            <w:tcBorders>
              <w:top w:val="nil"/>
              <w:bottom w:val="single" w:color="auto" w:sz="4" w:space="0"/>
              <w:right w:val="single" w:color="auto" w:sz="4" w:space="0"/>
            </w:tcBorders>
            <w:shd w:val="clear" w:color="auto" w:fill="auto"/>
            <w:vAlign w:val="center"/>
          </w:tcPr>
          <w:p>
            <w:pPr>
              <w:widowControl/>
              <w:jc w:val="left"/>
              <w:rPr>
                <w:rFonts w:ascii="黑体" w:hAnsi="黑体" w:eastAsia="黑体" w:cs="宋体"/>
                <w:kern w:val="0"/>
                <w:sz w:val="20"/>
                <w:szCs w:val="20"/>
              </w:rPr>
            </w:pPr>
            <w:r>
              <w:rPr>
                <w:rFonts w:hint="eastAsia" w:ascii="黑体" w:hAnsi="黑体" w:eastAsia="黑体" w:cs="宋体"/>
                <w:kern w:val="0"/>
                <w:sz w:val="20"/>
                <w:szCs w:val="20"/>
              </w:rPr>
              <w:t>血常规18项</w:t>
            </w:r>
          </w:p>
        </w:tc>
        <w:tc>
          <w:tcPr>
            <w:tcW w:w="1600" w:type="dxa"/>
            <w:tcBorders>
              <w:top w:val="nil"/>
              <w:left w:val="nil"/>
              <w:bottom w:val="single" w:color="auto" w:sz="4" w:space="0"/>
              <w:right w:val="single" w:color="auto" w:sz="4" w:space="0"/>
            </w:tcBorders>
            <w:shd w:val="clear" w:color="auto" w:fill="auto"/>
            <w:vAlign w:val="center"/>
          </w:tcPr>
          <w:p>
            <w:pPr>
              <w:widowControl/>
              <w:jc w:val="left"/>
              <w:rPr>
                <w:rFonts w:ascii="黑体" w:hAnsi="黑体" w:eastAsia="黑体" w:cs="宋体"/>
                <w:kern w:val="0"/>
                <w:sz w:val="20"/>
                <w:szCs w:val="20"/>
              </w:rPr>
            </w:pPr>
            <w:r>
              <w:rPr>
                <w:rFonts w:hint="eastAsia" w:ascii="黑体" w:hAnsi="黑体" w:eastAsia="黑体" w:cs="宋体"/>
                <w:kern w:val="0"/>
                <w:sz w:val="20"/>
                <w:szCs w:val="20"/>
              </w:rPr>
              <w:t>红细胞</w:t>
            </w:r>
          </w:p>
        </w:tc>
        <w:tc>
          <w:tcPr>
            <w:tcW w:w="640"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20"/>
                <w:szCs w:val="20"/>
              </w:rPr>
            </w:pPr>
            <w:r>
              <w:rPr>
                <w:rFonts w:hint="eastAsia" w:ascii="黑体" w:hAnsi="黑体" w:eastAsia="黑体" w:cs="宋体"/>
                <w:kern w:val="0"/>
                <w:sz w:val="20"/>
                <w:szCs w:val="20"/>
              </w:rPr>
              <w:t>●</w:t>
            </w:r>
          </w:p>
        </w:tc>
        <w:tc>
          <w:tcPr>
            <w:tcW w:w="640"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20"/>
                <w:szCs w:val="20"/>
              </w:rPr>
            </w:pPr>
            <w:r>
              <w:rPr>
                <w:rFonts w:hint="eastAsia" w:ascii="黑体" w:hAnsi="黑体" w:eastAsia="黑体" w:cs="宋体"/>
                <w:kern w:val="0"/>
                <w:sz w:val="20"/>
                <w:szCs w:val="20"/>
              </w:rPr>
              <w:t>●</w:t>
            </w:r>
          </w:p>
        </w:tc>
        <w:tc>
          <w:tcPr>
            <w:tcW w:w="640"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20"/>
                <w:szCs w:val="20"/>
              </w:rPr>
            </w:pPr>
            <w:r>
              <w:rPr>
                <w:rFonts w:hint="eastAsia" w:ascii="黑体" w:hAnsi="黑体" w:eastAsia="黑体" w:cs="宋体"/>
                <w:kern w:val="0"/>
                <w:sz w:val="20"/>
                <w:szCs w:val="20"/>
              </w:rPr>
              <w:t>●</w:t>
            </w:r>
          </w:p>
        </w:tc>
        <w:tc>
          <w:tcPr>
            <w:tcW w:w="5820" w:type="dxa"/>
            <w:vMerge w:val="restart"/>
            <w:tcBorders>
              <w:top w:val="nil"/>
              <w:left w:val="single" w:color="auto" w:sz="4" w:space="0"/>
              <w:bottom w:val="single" w:color="auto" w:sz="4" w:space="0"/>
            </w:tcBorders>
            <w:shd w:val="clear" w:color="auto" w:fill="auto"/>
            <w:vAlign w:val="center"/>
          </w:tcPr>
          <w:p>
            <w:pPr>
              <w:widowControl/>
              <w:jc w:val="left"/>
              <w:rPr>
                <w:rFonts w:ascii="黑体" w:hAnsi="黑体" w:eastAsia="黑体" w:cs="宋体"/>
                <w:kern w:val="0"/>
                <w:sz w:val="20"/>
                <w:szCs w:val="20"/>
              </w:rPr>
            </w:pPr>
            <w:r>
              <w:rPr>
                <w:rFonts w:hint="eastAsia" w:ascii="黑体" w:hAnsi="黑体" w:eastAsia="黑体" w:cs="宋体"/>
                <w:kern w:val="0"/>
                <w:sz w:val="20"/>
                <w:szCs w:val="20"/>
              </w:rPr>
              <w:t>对诊断各种原因引起的贫血、白细胞减少、红细胞增多症、白血病、再生障碍性贫血及急性感染等有参考意义。</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Layout w:type="fixed"/>
          <w:tblCellMar>
            <w:top w:w="0" w:type="dxa"/>
            <w:left w:w="108" w:type="dxa"/>
            <w:bottom w:w="0" w:type="dxa"/>
            <w:right w:w="108" w:type="dxa"/>
          </w:tblCellMar>
        </w:tblPrEx>
        <w:trPr>
          <w:trHeight w:val="342" w:hRule="atLeast"/>
        </w:trPr>
        <w:tc>
          <w:tcPr>
            <w:tcW w:w="861" w:type="dxa"/>
            <w:vMerge w:val="continue"/>
            <w:tcBorders>
              <w:top w:val="nil"/>
              <w:bottom w:val="single" w:color="auto" w:sz="4" w:space="0"/>
              <w:right w:val="single" w:color="auto" w:sz="4" w:space="0"/>
            </w:tcBorders>
            <w:vAlign w:val="center"/>
          </w:tcPr>
          <w:p>
            <w:pPr>
              <w:widowControl/>
              <w:jc w:val="left"/>
              <w:rPr>
                <w:rFonts w:ascii="黑体" w:hAnsi="黑体" w:eastAsia="黑体" w:cs="宋体"/>
                <w:kern w:val="0"/>
                <w:sz w:val="20"/>
                <w:szCs w:val="20"/>
              </w:rPr>
            </w:pPr>
          </w:p>
        </w:tc>
        <w:tc>
          <w:tcPr>
            <w:tcW w:w="1600" w:type="dxa"/>
            <w:tcBorders>
              <w:top w:val="nil"/>
              <w:left w:val="nil"/>
              <w:bottom w:val="single" w:color="auto" w:sz="4" w:space="0"/>
              <w:right w:val="single" w:color="auto" w:sz="4" w:space="0"/>
            </w:tcBorders>
            <w:shd w:val="clear" w:color="auto" w:fill="auto"/>
            <w:vAlign w:val="center"/>
          </w:tcPr>
          <w:p>
            <w:pPr>
              <w:widowControl/>
              <w:jc w:val="left"/>
              <w:rPr>
                <w:rFonts w:ascii="黑体" w:hAnsi="黑体" w:eastAsia="黑体" w:cs="宋体"/>
                <w:kern w:val="0"/>
                <w:sz w:val="20"/>
                <w:szCs w:val="20"/>
              </w:rPr>
            </w:pPr>
            <w:r>
              <w:rPr>
                <w:rFonts w:hint="eastAsia" w:ascii="黑体" w:hAnsi="黑体" w:eastAsia="黑体" w:cs="宋体"/>
                <w:kern w:val="0"/>
                <w:sz w:val="20"/>
                <w:szCs w:val="20"/>
              </w:rPr>
              <w:t>白细胞</w:t>
            </w:r>
          </w:p>
        </w:tc>
        <w:tc>
          <w:tcPr>
            <w:tcW w:w="640" w:type="dxa"/>
            <w:vMerge w:val="continue"/>
            <w:tcBorders>
              <w:top w:val="nil"/>
              <w:left w:val="single" w:color="auto" w:sz="4" w:space="0"/>
              <w:bottom w:val="single" w:color="auto" w:sz="4" w:space="0"/>
              <w:right w:val="single" w:color="auto" w:sz="4" w:space="0"/>
            </w:tcBorders>
            <w:vAlign w:val="center"/>
          </w:tcPr>
          <w:p>
            <w:pPr>
              <w:widowControl/>
              <w:jc w:val="left"/>
              <w:rPr>
                <w:rFonts w:ascii="黑体" w:hAnsi="黑体" w:eastAsia="黑体" w:cs="宋体"/>
                <w:kern w:val="0"/>
                <w:sz w:val="20"/>
                <w:szCs w:val="20"/>
              </w:rPr>
            </w:pPr>
          </w:p>
        </w:tc>
        <w:tc>
          <w:tcPr>
            <w:tcW w:w="640" w:type="dxa"/>
            <w:vMerge w:val="continue"/>
            <w:tcBorders>
              <w:top w:val="nil"/>
              <w:left w:val="single" w:color="auto" w:sz="4" w:space="0"/>
              <w:bottom w:val="single" w:color="auto" w:sz="4" w:space="0"/>
              <w:right w:val="single" w:color="auto" w:sz="4" w:space="0"/>
            </w:tcBorders>
            <w:vAlign w:val="center"/>
          </w:tcPr>
          <w:p>
            <w:pPr>
              <w:widowControl/>
              <w:jc w:val="left"/>
              <w:rPr>
                <w:rFonts w:ascii="黑体" w:hAnsi="黑体" w:eastAsia="黑体" w:cs="宋体"/>
                <w:kern w:val="0"/>
                <w:sz w:val="20"/>
                <w:szCs w:val="20"/>
              </w:rPr>
            </w:pPr>
          </w:p>
        </w:tc>
        <w:tc>
          <w:tcPr>
            <w:tcW w:w="640" w:type="dxa"/>
            <w:vMerge w:val="continue"/>
            <w:tcBorders>
              <w:top w:val="nil"/>
              <w:left w:val="single" w:color="auto" w:sz="4" w:space="0"/>
              <w:bottom w:val="single" w:color="auto" w:sz="4" w:space="0"/>
              <w:right w:val="single" w:color="auto" w:sz="4" w:space="0"/>
            </w:tcBorders>
            <w:vAlign w:val="center"/>
          </w:tcPr>
          <w:p>
            <w:pPr>
              <w:widowControl/>
              <w:jc w:val="left"/>
              <w:rPr>
                <w:rFonts w:ascii="黑体" w:hAnsi="黑体" w:eastAsia="黑体" w:cs="宋体"/>
                <w:kern w:val="0"/>
                <w:sz w:val="20"/>
                <w:szCs w:val="20"/>
              </w:rPr>
            </w:pPr>
          </w:p>
        </w:tc>
        <w:tc>
          <w:tcPr>
            <w:tcW w:w="5820" w:type="dxa"/>
            <w:vMerge w:val="continue"/>
            <w:tcBorders>
              <w:top w:val="nil"/>
              <w:left w:val="single" w:color="auto" w:sz="4" w:space="0"/>
              <w:bottom w:val="single" w:color="auto" w:sz="4" w:space="0"/>
            </w:tcBorders>
            <w:vAlign w:val="center"/>
          </w:tcPr>
          <w:p>
            <w:pPr>
              <w:widowControl/>
              <w:jc w:val="left"/>
              <w:rPr>
                <w:rFonts w:ascii="黑体" w:hAnsi="黑体" w:eastAsia="黑体" w:cs="宋体"/>
                <w:kern w:val="0"/>
                <w:sz w:val="20"/>
                <w:szCs w:val="20"/>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Layout w:type="fixed"/>
          <w:tblCellMar>
            <w:top w:w="0" w:type="dxa"/>
            <w:left w:w="108" w:type="dxa"/>
            <w:bottom w:w="0" w:type="dxa"/>
            <w:right w:w="108" w:type="dxa"/>
          </w:tblCellMar>
        </w:tblPrEx>
        <w:trPr>
          <w:trHeight w:val="300" w:hRule="atLeast"/>
        </w:trPr>
        <w:tc>
          <w:tcPr>
            <w:tcW w:w="861" w:type="dxa"/>
            <w:vMerge w:val="continue"/>
            <w:tcBorders>
              <w:top w:val="nil"/>
              <w:bottom w:val="single" w:color="auto" w:sz="4" w:space="0"/>
              <w:right w:val="single" w:color="auto" w:sz="4" w:space="0"/>
            </w:tcBorders>
            <w:vAlign w:val="center"/>
          </w:tcPr>
          <w:p>
            <w:pPr>
              <w:widowControl/>
              <w:jc w:val="left"/>
              <w:rPr>
                <w:rFonts w:ascii="黑体" w:hAnsi="黑体" w:eastAsia="黑体" w:cs="宋体"/>
                <w:kern w:val="0"/>
                <w:sz w:val="20"/>
                <w:szCs w:val="20"/>
              </w:rPr>
            </w:pPr>
          </w:p>
        </w:tc>
        <w:tc>
          <w:tcPr>
            <w:tcW w:w="1600" w:type="dxa"/>
            <w:tcBorders>
              <w:top w:val="nil"/>
              <w:left w:val="nil"/>
              <w:bottom w:val="single" w:color="auto" w:sz="4" w:space="0"/>
              <w:right w:val="single" w:color="auto" w:sz="4" w:space="0"/>
            </w:tcBorders>
            <w:shd w:val="clear" w:color="auto" w:fill="auto"/>
            <w:vAlign w:val="center"/>
          </w:tcPr>
          <w:p>
            <w:pPr>
              <w:widowControl/>
              <w:jc w:val="left"/>
              <w:rPr>
                <w:rFonts w:ascii="黑体" w:hAnsi="黑体" w:eastAsia="黑体" w:cs="宋体"/>
                <w:kern w:val="0"/>
                <w:sz w:val="20"/>
                <w:szCs w:val="20"/>
              </w:rPr>
            </w:pPr>
            <w:r>
              <w:rPr>
                <w:rFonts w:hint="eastAsia" w:ascii="黑体" w:hAnsi="黑体" w:eastAsia="黑体" w:cs="宋体"/>
                <w:kern w:val="0"/>
                <w:sz w:val="20"/>
                <w:szCs w:val="20"/>
              </w:rPr>
              <w:t>白细胞分类</w:t>
            </w:r>
          </w:p>
        </w:tc>
        <w:tc>
          <w:tcPr>
            <w:tcW w:w="640" w:type="dxa"/>
            <w:vMerge w:val="continue"/>
            <w:tcBorders>
              <w:top w:val="nil"/>
              <w:left w:val="single" w:color="auto" w:sz="4" w:space="0"/>
              <w:bottom w:val="single" w:color="auto" w:sz="4" w:space="0"/>
              <w:right w:val="single" w:color="auto" w:sz="4" w:space="0"/>
            </w:tcBorders>
            <w:vAlign w:val="center"/>
          </w:tcPr>
          <w:p>
            <w:pPr>
              <w:widowControl/>
              <w:jc w:val="left"/>
              <w:rPr>
                <w:rFonts w:ascii="黑体" w:hAnsi="黑体" w:eastAsia="黑体" w:cs="宋体"/>
                <w:kern w:val="0"/>
                <w:sz w:val="20"/>
                <w:szCs w:val="20"/>
              </w:rPr>
            </w:pPr>
          </w:p>
        </w:tc>
        <w:tc>
          <w:tcPr>
            <w:tcW w:w="640" w:type="dxa"/>
            <w:vMerge w:val="continue"/>
            <w:tcBorders>
              <w:top w:val="nil"/>
              <w:left w:val="single" w:color="auto" w:sz="4" w:space="0"/>
              <w:bottom w:val="single" w:color="auto" w:sz="4" w:space="0"/>
              <w:right w:val="single" w:color="auto" w:sz="4" w:space="0"/>
            </w:tcBorders>
            <w:vAlign w:val="center"/>
          </w:tcPr>
          <w:p>
            <w:pPr>
              <w:widowControl/>
              <w:jc w:val="left"/>
              <w:rPr>
                <w:rFonts w:ascii="黑体" w:hAnsi="黑体" w:eastAsia="黑体" w:cs="宋体"/>
                <w:kern w:val="0"/>
                <w:sz w:val="20"/>
                <w:szCs w:val="20"/>
              </w:rPr>
            </w:pPr>
          </w:p>
        </w:tc>
        <w:tc>
          <w:tcPr>
            <w:tcW w:w="640" w:type="dxa"/>
            <w:vMerge w:val="continue"/>
            <w:tcBorders>
              <w:top w:val="nil"/>
              <w:left w:val="single" w:color="auto" w:sz="4" w:space="0"/>
              <w:bottom w:val="single" w:color="auto" w:sz="4" w:space="0"/>
              <w:right w:val="single" w:color="auto" w:sz="4" w:space="0"/>
            </w:tcBorders>
            <w:vAlign w:val="center"/>
          </w:tcPr>
          <w:p>
            <w:pPr>
              <w:widowControl/>
              <w:jc w:val="left"/>
              <w:rPr>
                <w:rFonts w:ascii="黑体" w:hAnsi="黑体" w:eastAsia="黑体" w:cs="宋体"/>
                <w:kern w:val="0"/>
                <w:sz w:val="20"/>
                <w:szCs w:val="20"/>
              </w:rPr>
            </w:pPr>
          </w:p>
        </w:tc>
        <w:tc>
          <w:tcPr>
            <w:tcW w:w="5820" w:type="dxa"/>
            <w:vMerge w:val="continue"/>
            <w:tcBorders>
              <w:top w:val="nil"/>
              <w:left w:val="single" w:color="auto" w:sz="4" w:space="0"/>
              <w:bottom w:val="single" w:color="auto" w:sz="4" w:space="0"/>
            </w:tcBorders>
            <w:vAlign w:val="center"/>
          </w:tcPr>
          <w:p>
            <w:pPr>
              <w:widowControl/>
              <w:jc w:val="left"/>
              <w:rPr>
                <w:rFonts w:ascii="黑体" w:hAnsi="黑体" w:eastAsia="黑体" w:cs="宋体"/>
                <w:kern w:val="0"/>
                <w:sz w:val="20"/>
                <w:szCs w:val="20"/>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Layout w:type="fixed"/>
          <w:tblCellMar>
            <w:top w:w="0" w:type="dxa"/>
            <w:left w:w="108" w:type="dxa"/>
            <w:bottom w:w="0" w:type="dxa"/>
            <w:right w:w="108" w:type="dxa"/>
          </w:tblCellMar>
        </w:tblPrEx>
        <w:trPr>
          <w:trHeight w:val="285" w:hRule="atLeast"/>
        </w:trPr>
        <w:tc>
          <w:tcPr>
            <w:tcW w:w="861" w:type="dxa"/>
            <w:vMerge w:val="continue"/>
            <w:tcBorders>
              <w:top w:val="nil"/>
              <w:bottom w:val="single" w:color="auto" w:sz="4" w:space="0"/>
              <w:right w:val="single" w:color="auto" w:sz="4" w:space="0"/>
            </w:tcBorders>
            <w:vAlign w:val="center"/>
          </w:tcPr>
          <w:p>
            <w:pPr>
              <w:widowControl/>
              <w:jc w:val="left"/>
              <w:rPr>
                <w:rFonts w:ascii="黑体" w:hAnsi="黑体" w:eastAsia="黑体" w:cs="宋体"/>
                <w:kern w:val="0"/>
                <w:sz w:val="20"/>
                <w:szCs w:val="20"/>
              </w:rPr>
            </w:pPr>
          </w:p>
        </w:tc>
        <w:tc>
          <w:tcPr>
            <w:tcW w:w="1600" w:type="dxa"/>
            <w:tcBorders>
              <w:top w:val="nil"/>
              <w:left w:val="nil"/>
              <w:bottom w:val="single" w:color="auto" w:sz="4" w:space="0"/>
              <w:right w:val="single" w:color="auto" w:sz="4" w:space="0"/>
            </w:tcBorders>
            <w:shd w:val="clear" w:color="auto" w:fill="auto"/>
            <w:vAlign w:val="center"/>
          </w:tcPr>
          <w:p>
            <w:pPr>
              <w:widowControl/>
              <w:jc w:val="left"/>
              <w:rPr>
                <w:rFonts w:ascii="黑体" w:hAnsi="黑体" w:eastAsia="黑体" w:cs="宋体"/>
                <w:kern w:val="0"/>
                <w:sz w:val="20"/>
                <w:szCs w:val="20"/>
              </w:rPr>
            </w:pPr>
            <w:r>
              <w:rPr>
                <w:rFonts w:hint="eastAsia" w:ascii="黑体" w:hAnsi="黑体" w:eastAsia="黑体" w:cs="宋体"/>
                <w:kern w:val="0"/>
                <w:sz w:val="20"/>
                <w:szCs w:val="20"/>
              </w:rPr>
              <w:t>血红蛋白测定</w:t>
            </w:r>
          </w:p>
        </w:tc>
        <w:tc>
          <w:tcPr>
            <w:tcW w:w="640" w:type="dxa"/>
            <w:vMerge w:val="continue"/>
            <w:tcBorders>
              <w:top w:val="nil"/>
              <w:left w:val="single" w:color="auto" w:sz="4" w:space="0"/>
              <w:bottom w:val="single" w:color="auto" w:sz="4" w:space="0"/>
              <w:right w:val="single" w:color="auto" w:sz="4" w:space="0"/>
            </w:tcBorders>
            <w:vAlign w:val="center"/>
          </w:tcPr>
          <w:p>
            <w:pPr>
              <w:widowControl/>
              <w:jc w:val="left"/>
              <w:rPr>
                <w:rFonts w:ascii="黑体" w:hAnsi="黑体" w:eastAsia="黑体" w:cs="宋体"/>
                <w:kern w:val="0"/>
                <w:sz w:val="20"/>
                <w:szCs w:val="20"/>
              </w:rPr>
            </w:pPr>
          </w:p>
        </w:tc>
        <w:tc>
          <w:tcPr>
            <w:tcW w:w="640" w:type="dxa"/>
            <w:vMerge w:val="continue"/>
            <w:tcBorders>
              <w:top w:val="nil"/>
              <w:left w:val="single" w:color="auto" w:sz="4" w:space="0"/>
              <w:bottom w:val="single" w:color="auto" w:sz="4" w:space="0"/>
              <w:right w:val="single" w:color="auto" w:sz="4" w:space="0"/>
            </w:tcBorders>
            <w:vAlign w:val="center"/>
          </w:tcPr>
          <w:p>
            <w:pPr>
              <w:widowControl/>
              <w:jc w:val="left"/>
              <w:rPr>
                <w:rFonts w:ascii="黑体" w:hAnsi="黑体" w:eastAsia="黑体" w:cs="宋体"/>
                <w:kern w:val="0"/>
                <w:sz w:val="20"/>
                <w:szCs w:val="20"/>
              </w:rPr>
            </w:pPr>
          </w:p>
        </w:tc>
        <w:tc>
          <w:tcPr>
            <w:tcW w:w="640" w:type="dxa"/>
            <w:vMerge w:val="continue"/>
            <w:tcBorders>
              <w:top w:val="nil"/>
              <w:left w:val="single" w:color="auto" w:sz="4" w:space="0"/>
              <w:bottom w:val="single" w:color="auto" w:sz="4" w:space="0"/>
              <w:right w:val="single" w:color="auto" w:sz="4" w:space="0"/>
            </w:tcBorders>
            <w:vAlign w:val="center"/>
          </w:tcPr>
          <w:p>
            <w:pPr>
              <w:widowControl/>
              <w:jc w:val="left"/>
              <w:rPr>
                <w:rFonts w:ascii="黑体" w:hAnsi="黑体" w:eastAsia="黑体" w:cs="宋体"/>
                <w:kern w:val="0"/>
                <w:sz w:val="20"/>
                <w:szCs w:val="20"/>
              </w:rPr>
            </w:pPr>
          </w:p>
        </w:tc>
        <w:tc>
          <w:tcPr>
            <w:tcW w:w="5820" w:type="dxa"/>
            <w:vMerge w:val="continue"/>
            <w:tcBorders>
              <w:top w:val="nil"/>
              <w:left w:val="single" w:color="auto" w:sz="4" w:space="0"/>
              <w:bottom w:val="single" w:color="auto" w:sz="4" w:space="0"/>
            </w:tcBorders>
            <w:vAlign w:val="center"/>
          </w:tcPr>
          <w:p>
            <w:pPr>
              <w:widowControl/>
              <w:jc w:val="left"/>
              <w:rPr>
                <w:rFonts w:ascii="黑体" w:hAnsi="黑体" w:eastAsia="黑体" w:cs="宋体"/>
                <w:kern w:val="0"/>
                <w:sz w:val="20"/>
                <w:szCs w:val="20"/>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Layout w:type="fixed"/>
          <w:tblCellMar>
            <w:top w:w="0" w:type="dxa"/>
            <w:left w:w="108" w:type="dxa"/>
            <w:bottom w:w="0" w:type="dxa"/>
            <w:right w:w="108" w:type="dxa"/>
          </w:tblCellMar>
        </w:tblPrEx>
        <w:trPr>
          <w:trHeight w:val="282" w:hRule="atLeast"/>
        </w:trPr>
        <w:tc>
          <w:tcPr>
            <w:tcW w:w="861" w:type="dxa"/>
            <w:vMerge w:val="continue"/>
            <w:tcBorders>
              <w:top w:val="nil"/>
              <w:bottom w:val="single" w:color="auto" w:sz="4" w:space="0"/>
              <w:right w:val="single" w:color="auto" w:sz="4" w:space="0"/>
            </w:tcBorders>
            <w:vAlign w:val="center"/>
          </w:tcPr>
          <w:p>
            <w:pPr>
              <w:widowControl/>
              <w:jc w:val="left"/>
              <w:rPr>
                <w:rFonts w:ascii="黑体" w:hAnsi="黑体" w:eastAsia="黑体" w:cs="宋体"/>
                <w:kern w:val="0"/>
                <w:sz w:val="20"/>
                <w:szCs w:val="20"/>
              </w:rPr>
            </w:pPr>
          </w:p>
        </w:tc>
        <w:tc>
          <w:tcPr>
            <w:tcW w:w="1600" w:type="dxa"/>
            <w:tcBorders>
              <w:top w:val="nil"/>
              <w:left w:val="nil"/>
              <w:bottom w:val="single" w:color="auto" w:sz="4" w:space="0"/>
              <w:right w:val="single" w:color="auto" w:sz="4" w:space="0"/>
            </w:tcBorders>
            <w:shd w:val="clear" w:color="auto" w:fill="auto"/>
            <w:vAlign w:val="center"/>
          </w:tcPr>
          <w:p>
            <w:pPr>
              <w:widowControl/>
              <w:jc w:val="left"/>
              <w:rPr>
                <w:rFonts w:ascii="黑体" w:hAnsi="黑体" w:eastAsia="黑体" w:cs="宋体"/>
                <w:kern w:val="0"/>
                <w:sz w:val="20"/>
                <w:szCs w:val="20"/>
              </w:rPr>
            </w:pPr>
            <w:r>
              <w:rPr>
                <w:rFonts w:hint="eastAsia" w:ascii="黑体" w:hAnsi="黑体" w:eastAsia="黑体" w:cs="宋体"/>
                <w:kern w:val="0"/>
                <w:sz w:val="20"/>
                <w:szCs w:val="20"/>
              </w:rPr>
              <w:t>血小板</w:t>
            </w:r>
          </w:p>
        </w:tc>
        <w:tc>
          <w:tcPr>
            <w:tcW w:w="640" w:type="dxa"/>
            <w:vMerge w:val="continue"/>
            <w:tcBorders>
              <w:top w:val="nil"/>
              <w:left w:val="single" w:color="auto" w:sz="4" w:space="0"/>
              <w:bottom w:val="single" w:color="auto" w:sz="4" w:space="0"/>
              <w:right w:val="single" w:color="auto" w:sz="4" w:space="0"/>
            </w:tcBorders>
            <w:vAlign w:val="center"/>
          </w:tcPr>
          <w:p>
            <w:pPr>
              <w:widowControl/>
              <w:jc w:val="left"/>
              <w:rPr>
                <w:rFonts w:ascii="黑体" w:hAnsi="黑体" w:eastAsia="黑体" w:cs="宋体"/>
                <w:kern w:val="0"/>
                <w:sz w:val="20"/>
                <w:szCs w:val="20"/>
              </w:rPr>
            </w:pPr>
          </w:p>
        </w:tc>
        <w:tc>
          <w:tcPr>
            <w:tcW w:w="640" w:type="dxa"/>
            <w:vMerge w:val="continue"/>
            <w:tcBorders>
              <w:top w:val="nil"/>
              <w:left w:val="single" w:color="auto" w:sz="4" w:space="0"/>
              <w:bottom w:val="single" w:color="auto" w:sz="4" w:space="0"/>
              <w:right w:val="single" w:color="auto" w:sz="4" w:space="0"/>
            </w:tcBorders>
            <w:vAlign w:val="center"/>
          </w:tcPr>
          <w:p>
            <w:pPr>
              <w:widowControl/>
              <w:jc w:val="left"/>
              <w:rPr>
                <w:rFonts w:ascii="黑体" w:hAnsi="黑体" w:eastAsia="黑体" w:cs="宋体"/>
                <w:kern w:val="0"/>
                <w:sz w:val="20"/>
                <w:szCs w:val="20"/>
              </w:rPr>
            </w:pPr>
          </w:p>
        </w:tc>
        <w:tc>
          <w:tcPr>
            <w:tcW w:w="640" w:type="dxa"/>
            <w:vMerge w:val="continue"/>
            <w:tcBorders>
              <w:top w:val="nil"/>
              <w:left w:val="single" w:color="auto" w:sz="4" w:space="0"/>
              <w:bottom w:val="single" w:color="auto" w:sz="4" w:space="0"/>
              <w:right w:val="single" w:color="auto" w:sz="4" w:space="0"/>
            </w:tcBorders>
            <w:vAlign w:val="center"/>
          </w:tcPr>
          <w:p>
            <w:pPr>
              <w:widowControl/>
              <w:jc w:val="left"/>
              <w:rPr>
                <w:rFonts w:ascii="黑体" w:hAnsi="黑体" w:eastAsia="黑体" w:cs="宋体"/>
                <w:kern w:val="0"/>
                <w:sz w:val="20"/>
                <w:szCs w:val="20"/>
              </w:rPr>
            </w:pPr>
          </w:p>
        </w:tc>
        <w:tc>
          <w:tcPr>
            <w:tcW w:w="5820" w:type="dxa"/>
            <w:vMerge w:val="continue"/>
            <w:tcBorders>
              <w:top w:val="nil"/>
              <w:left w:val="single" w:color="auto" w:sz="4" w:space="0"/>
              <w:bottom w:val="single" w:color="auto" w:sz="4" w:space="0"/>
            </w:tcBorders>
            <w:vAlign w:val="center"/>
          </w:tcPr>
          <w:p>
            <w:pPr>
              <w:widowControl/>
              <w:jc w:val="left"/>
              <w:rPr>
                <w:rFonts w:ascii="黑体" w:hAnsi="黑体" w:eastAsia="黑体" w:cs="宋体"/>
                <w:kern w:val="0"/>
                <w:sz w:val="20"/>
                <w:szCs w:val="20"/>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Layout w:type="fixed"/>
        </w:tblPrEx>
        <w:trPr>
          <w:trHeight w:val="282" w:hRule="atLeast"/>
        </w:trPr>
        <w:tc>
          <w:tcPr>
            <w:tcW w:w="861" w:type="dxa"/>
            <w:vMerge w:val="continue"/>
            <w:tcBorders>
              <w:top w:val="nil"/>
              <w:bottom w:val="single" w:color="auto" w:sz="4" w:space="0"/>
              <w:right w:val="single" w:color="auto" w:sz="4" w:space="0"/>
            </w:tcBorders>
            <w:vAlign w:val="center"/>
          </w:tcPr>
          <w:p>
            <w:pPr>
              <w:widowControl/>
              <w:jc w:val="left"/>
              <w:rPr>
                <w:rFonts w:ascii="黑体" w:hAnsi="黑体" w:eastAsia="黑体" w:cs="宋体"/>
                <w:kern w:val="0"/>
                <w:sz w:val="20"/>
                <w:szCs w:val="20"/>
              </w:rPr>
            </w:pPr>
          </w:p>
        </w:tc>
        <w:tc>
          <w:tcPr>
            <w:tcW w:w="1600" w:type="dxa"/>
            <w:tcBorders>
              <w:top w:val="nil"/>
              <w:left w:val="nil"/>
              <w:bottom w:val="single" w:color="auto" w:sz="4" w:space="0"/>
              <w:right w:val="single" w:color="auto" w:sz="4" w:space="0"/>
            </w:tcBorders>
            <w:shd w:val="clear" w:color="auto" w:fill="auto"/>
            <w:vAlign w:val="center"/>
          </w:tcPr>
          <w:p>
            <w:pPr>
              <w:widowControl/>
              <w:jc w:val="left"/>
              <w:rPr>
                <w:rFonts w:ascii="黑体" w:hAnsi="黑体" w:eastAsia="黑体" w:cs="宋体"/>
                <w:kern w:val="0"/>
                <w:sz w:val="20"/>
                <w:szCs w:val="20"/>
              </w:rPr>
            </w:pPr>
            <w:r>
              <w:rPr>
                <w:rFonts w:hint="eastAsia" w:ascii="黑体" w:hAnsi="黑体" w:eastAsia="黑体" w:cs="宋体"/>
                <w:kern w:val="0"/>
                <w:sz w:val="20"/>
                <w:szCs w:val="20"/>
              </w:rPr>
              <w:t>红细胞压积</w:t>
            </w:r>
          </w:p>
        </w:tc>
        <w:tc>
          <w:tcPr>
            <w:tcW w:w="640" w:type="dxa"/>
            <w:vMerge w:val="continue"/>
            <w:tcBorders>
              <w:top w:val="nil"/>
              <w:left w:val="single" w:color="auto" w:sz="4" w:space="0"/>
              <w:bottom w:val="single" w:color="auto" w:sz="4" w:space="0"/>
              <w:right w:val="single" w:color="auto" w:sz="4" w:space="0"/>
            </w:tcBorders>
            <w:vAlign w:val="center"/>
          </w:tcPr>
          <w:p>
            <w:pPr>
              <w:widowControl/>
              <w:jc w:val="left"/>
              <w:rPr>
                <w:rFonts w:ascii="黑体" w:hAnsi="黑体" w:eastAsia="黑体" w:cs="宋体"/>
                <w:kern w:val="0"/>
                <w:sz w:val="20"/>
                <w:szCs w:val="20"/>
              </w:rPr>
            </w:pPr>
          </w:p>
        </w:tc>
        <w:tc>
          <w:tcPr>
            <w:tcW w:w="640" w:type="dxa"/>
            <w:vMerge w:val="continue"/>
            <w:tcBorders>
              <w:top w:val="nil"/>
              <w:left w:val="single" w:color="auto" w:sz="4" w:space="0"/>
              <w:bottom w:val="single" w:color="auto" w:sz="4" w:space="0"/>
              <w:right w:val="single" w:color="auto" w:sz="4" w:space="0"/>
            </w:tcBorders>
            <w:vAlign w:val="center"/>
          </w:tcPr>
          <w:p>
            <w:pPr>
              <w:widowControl/>
              <w:jc w:val="left"/>
              <w:rPr>
                <w:rFonts w:ascii="黑体" w:hAnsi="黑体" w:eastAsia="黑体" w:cs="宋体"/>
                <w:kern w:val="0"/>
                <w:sz w:val="20"/>
                <w:szCs w:val="20"/>
              </w:rPr>
            </w:pPr>
          </w:p>
        </w:tc>
        <w:tc>
          <w:tcPr>
            <w:tcW w:w="640" w:type="dxa"/>
            <w:vMerge w:val="continue"/>
            <w:tcBorders>
              <w:top w:val="nil"/>
              <w:left w:val="single" w:color="auto" w:sz="4" w:space="0"/>
              <w:bottom w:val="single" w:color="auto" w:sz="4" w:space="0"/>
              <w:right w:val="single" w:color="auto" w:sz="4" w:space="0"/>
            </w:tcBorders>
            <w:vAlign w:val="center"/>
          </w:tcPr>
          <w:p>
            <w:pPr>
              <w:widowControl/>
              <w:jc w:val="left"/>
              <w:rPr>
                <w:rFonts w:ascii="黑体" w:hAnsi="黑体" w:eastAsia="黑体" w:cs="宋体"/>
                <w:kern w:val="0"/>
                <w:sz w:val="20"/>
                <w:szCs w:val="20"/>
              </w:rPr>
            </w:pPr>
          </w:p>
        </w:tc>
        <w:tc>
          <w:tcPr>
            <w:tcW w:w="5820" w:type="dxa"/>
            <w:vMerge w:val="continue"/>
            <w:tcBorders>
              <w:top w:val="nil"/>
              <w:left w:val="single" w:color="auto" w:sz="4" w:space="0"/>
              <w:bottom w:val="single" w:color="auto" w:sz="4" w:space="0"/>
            </w:tcBorders>
            <w:vAlign w:val="center"/>
          </w:tcPr>
          <w:p>
            <w:pPr>
              <w:widowControl/>
              <w:jc w:val="left"/>
              <w:rPr>
                <w:rFonts w:ascii="黑体" w:hAnsi="黑体" w:eastAsia="黑体" w:cs="宋体"/>
                <w:kern w:val="0"/>
                <w:sz w:val="20"/>
                <w:szCs w:val="20"/>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Layout w:type="fixed"/>
          <w:tblCellMar>
            <w:top w:w="0" w:type="dxa"/>
            <w:left w:w="108" w:type="dxa"/>
            <w:bottom w:w="0" w:type="dxa"/>
            <w:right w:w="108" w:type="dxa"/>
          </w:tblCellMar>
        </w:tblPrEx>
        <w:trPr>
          <w:trHeight w:val="285" w:hRule="atLeast"/>
        </w:trPr>
        <w:tc>
          <w:tcPr>
            <w:tcW w:w="861" w:type="dxa"/>
            <w:vMerge w:val="continue"/>
            <w:tcBorders>
              <w:top w:val="nil"/>
              <w:bottom w:val="single" w:color="auto" w:sz="4" w:space="0"/>
              <w:right w:val="single" w:color="auto" w:sz="4" w:space="0"/>
            </w:tcBorders>
            <w:vAlign w:val="center"/>
          </w:tcPr>
          <w:p>
            <w:pPr>
              <w:widowControl/>
              <w:jc w:val="left"/>
              <w:rPr>
                <w:rFonts w:ascii="黑体" w:hAnsi="黑体" w:eastAsia="黑体" w:cs="宋体"/>
                <w:kern w:val="0"/>
                <w:sz w:val="20"/>
                <w:szCs w:val="20"/>
              </w:rPr>
            </w:pPr>
          </w:p>
        </w:tc>
        <w:tc>
          <w:tcPr>
            <w:tcW w:w="1600" w:type="dxa"/>
            <w:tcBorders>
              <w:top w:val="nil"/>
              <w:left w:val="nil"/>
              <w:bottom w:val="single" w:color="auto" w:sz="4" w:space="0"/>
              <w:right w:val="single" w:color="auto" w:sz="4" w:space="0"/>
            </w:tcBorders>
            <w:shd w:val="clear" w:color="auto" w:fill="auto"/>
            <w:vAlign w:val="center"/>
          </w:tcPr>
          <w:p>
            <w:pPr>
              <w:widowControl/>
              <w:jc w:val="left"/>
              <w:rPr>
                <w:rFonts w:ascii="黑体" w:hAnsi="黑体" w:eastAsia="黑体" w:cs="宋体"/>
                <w:kern w:val="0"/>
                <w:sz w:val="20"/>
                <w:szCs w:val="20"/>
              </w:rPr>
            </w:pPr>
            <w:r>
              <w:rPr>
                <w:rFonts w:hint="eastAsia" w:ascii="黑体" w:hAnsi="黑体" w:eastAsia="黑体" w:cs="宋体"/>
                <w:kern w:val="0"/>
                <w:sz w:val="20"/>
                <w:szCs w:val="20"/>
              </w:rPr>
              <w:t>………………</w:t>
            </w:r>
          </w:p>
        </w:tc>
        <w:tc>
          <w:tcPr>
            <w:tcW w:w="640" w:type="dxa"/>
            <w:vMerge w:val="continue"/>
            <w:tcBorders>
              <w:top w:val="nil"/>
              <w:left w:val="single" w:color="auto" w:sz="4" w:space="0"/>
              <w:bottom w:val="single" w:color="auto" w:sz="4" w:space="0"/>
              <w:right w:val="single" w:color="auto" w:sz="4" w:space="0"/>
            </w:tcBorders>
            <w:vAlign w:val="center"/>
          </w:tcPr>
          <w:p>
            <w:pPr>
              <w:widowControl/>
              <w:jc w:val="left"/>
              <w:rPr>
                <w:rFonts w:ascii="黑体" w:hAnsi="黑体" w:eastAsia="黑体" w:cs="宋体"/>
                <w:kern w:val="0"/>
                <w:sz w:val="20"/>
                <w:szCs w:val="20"/>
              </w:rPr>
            </w:pPr>
          </w:p>
        </w:tc>
        <w:tc>
          <w:tcPr>
            <w:tcW w:w="640" w:type="dxa"/>
            <w:vMerge w:val="continue"/>
            <w:tcBorders>
              <w:top w:val="nil"/>
              <w:left w:val="single" w:color="auto" w:sz="4" w:space="0"/>
              <w:bottom w:val="single" w:color="auto" w:sz="4" w:space="0"/>
              <w:right w:val="single" w:color="auto" w:sz="4" w:space="0"/>
            </w:tcBorders>
            <w:vAlign w:val="center"/>
          </w:tcPr>
          <w:p>
            <w:pPr>
              <w:widowControl/>
              <w:jc w:val="left"/>
              <w:rPr>
                <w:rFonts w:ascii="黑体" w:hAnsi="黑体" w:eastAsia="黑体" w:cs="宋体"/>
                <w:kern w:val="0"/>
                <w:sz w:val="20"/>
                <w:szCs w:val="20"/>
              </w:rPr>
            </w:pPr>
          </w:p>
        </w:tc>
        <w:tc>
          <w:tcPr>
            <w:tcW w:w="640" w:type="dxa"/>
            <w:vMerge w:val="continue"/>
            <w:tcBorders>
              <w:top w:val="nil"/>
              <w:left w:val="single" w:color="auto" w:sz="4" w:space="0"/>
              <w:bottom w:val="single" w:color="auto" w:sz="4" w:space="0"/>
              <w:right w:val="single" w:color="auto" w:sz="4" w:space="0"/>
            </w:tcBorders>
            <w:vAlign w:val="center"/>
          </w:tcPr>
          <w:p>
            <w:pPr>
              <w:widowControl/>
              <w:jc w:val="left"/>
              <w:rPr>
                <w:rFonts w:ascii="黑体" w:hAnsi="黑体" w:eastAsia="黑体" w:cs="宋体"/>
                <w:kern w:val="0"/>
                <w:sz w:val="20"/>
                <w:szCs w:val="20"/>
              </w:rPr>
            </w:pPr>
          </w:p>
        </w:tc>
        <w:tc>
          <w:tcPr>
            <w:tcW w:w="5820" w:type="dxa"/>
            <w:vMerge w:val="continue"/>
            <w:tcBorders>
              <w:top w:val="nil"/>
              <w:left w:val="single" w:color="auto" w:sz="4" w:space="0"/>
              <w:bottom w:val="single" w:color="auto" w:sz="4" w:space="0"/>
            </w:tcBorders>
            <w:vAlign w:val="center"/>
          </w:tcPr>
          <w:p>
            <w:pPr>
              <w:widowControl/>
              <w:jc w:val="left"/>
              <w:rPr>
                <w:rFonts w:ascii="黑体" w:hAnsi="黑体" w:eastAsia="黑体" w:cs="宋体"/>
                <w:kern w:val="0"/>
                <w:sz w:val="20"/>
                <w:szCs w:val="20"/>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Layout w:type="fixed"/>
          <w:tblCellMar>
            <w:top w:w="0" w:type="dxa"/>
            <w:left w:w="108" w:type="dxa"/>
            <w:bottom w:w="0" w:type="dxa"/>
            <w:right w:w="108" w:type="dxa"/>
          </w:tblCellMar>
        </w:tblPrEx>
        <w:trPr>
          <w:trHeight w:val="270" w:hRule="atLeast"/>
        </w:trPr>
        <w:tc>
          <w:tcPr>
            <w:tcW w:w="2461" w:type="dxa"/>
            <w:gridSpan w:val="2"/>
            <w:tcBorders>
              <w:top w:val="single" w:color="auto" w:sz="4" w:space="0"/>
              <w:bottom w:val="single" w:color="auto" w:sz="4" w:space="0"/>
              <w:right w:val="single" w:color="auto" w:sz="4" w:space="0"/>
            </w:tcBorders>
            <w:shd w:val="clear" w:color="000000" w:fill="C0C0C0"/>
            <w:vAlign w:val="center"/>
          </w:tcPr>
          <w:p>
            <w:pPr>
              <w:widowControl/>
              <w:jc w:val="left"/>
              <w:rPr>
                <w:rFonts w:ascii="黑体" w:hAnsi="黑体" w:eastAsia="黑体" w:cs="宋体"/>
                <w:b/>
                <w:bCs/>
                <w:kern w:val="0"/>
                <w:sz w:val="20"/>
                <w:szCs w:val="20"/>
              </w:rPr>
            </w:pPr>
            <w:r>
              <w:rPr>
                <w:rFonts w:hint="eastAsia" w:ascii="黑体" w:hAnsi="黑体" w:eastAsia="黑体" w:cs="宋体"/>
                <w:b/>
                <w:bCs/>
                <w:kern w:val="0"/>
                <w:sz w:val="20"/>
                <w:szCs w:val="20"/>
              </w:rPr>
              <w:t>尿液检查</w:t>
            </w:r>
          </w:p>
        </w:tc>
        <w:tc>
          <w:tcPr>
            <w:tcW w:w="640" w:type="dxa"/>
            <w:tcBorders>
              <w:top w:val="nil"/>
              <w:left w:val="nil"/>
              <w:bottom w:val="single" w:color="auto" w:sz="4" w:space="0"/>
              <w:right w:val="single" w:color="auto" w:sz="4" w:space="0"/>
            </w:tcBorders>
            <w:shd w:val="clear" w:color="000000" w:fill="C0C0C0"/>
            <w:vAlign w:val="center"/>
          </w:tcPr>
          <w:p>
            <w:pPr>
              <w:widowControl/>
              <w:jc w:val="center"/>
              <w:rPr>
                <w:rFonts w:ascii="黑体" w:hAnsi="黑体" w:eastAsia="黑体" w:cs="宋体"/>
                <w:kern w:val="0"/>
                <w:sz w:val="20"/>
                <w:szCs w:val="20"/>
              </w:rPr>
            </w:pPr>
            <w:r>
              <w:rPr>
                <w:rFonts w:hint="eastAsia" w:ascii="黑体" w:hAnsi="黑体" w:eastAsia="黑体" w:cs="宋体"/>
                <w:kern w:val="0"/>
                <w:sz w:val="20"/>
                <w:szCs w:val="20"/>
              </w:rPr>
              <w:t>　</w:t>
            </w:r>
          </w:p>
        </w:tc>
        <w:tc>
          <w:tcPr>
            <w:tcW w:w="640" w:type="dxa"/>
            <w:tcBorders>
              <w:top w:val="nil"/>
              <w:left w:val="nil"/>
              <w:bottom w:val="single" w:color="auto" w:sz="4" w:space="0"/>
              <w:right w:val="single" w:color="auto" w:sz="4" w:space="0"/>
            </w:tcBorders>
            <w:shd w:val="clear" w:color="000000" w:fill="C0C0C0"/>
            <w:vAlign w:val="center"/>
          </w:tcPr>
          <w:p>
            <w:pPr>
              <w:widowControl/>
              <w:jc w:val="center"/>
              <w:rPr>
                <w:rFonts w:ascii="黑体" w:hAnsi="黑体" w:eastAsia="黑体" w:cs="宋体"/>
                <w:kern w:val="0"/>
                <w:sz w:val="20"/>
                <w:szCs w:val="20"/>
              </w:rPr>
            </w:pPr>
            <w:r>
              <w:rPr>
                <w:rFonts w:hint="eastAsia" w:ascii="黑体" w:hAnsi="黑体" w:eastAsia="黑体" w:cs="宋体"/>
                <w:kern w:val="0"/>
                <w:sz w:val="20"/>
                <w:szCs w:val="20"/>
              </w:rPr>
              <w:t>　</w:t>
            </w:r>
          </w:p>
        </w:tc>
        <w:tc>
          <w:tcPr>
            <w:tcW w:w="640" w:type="dxa"/>
            <w:tcBorders>
              <w:top w:val="nil"/>
              <w:left w:val="nil"/>
              <w:bottom w:val="single" w:color="auto" w:sz="4" w:space="0"/>
              <w:right w:val="single" w:color="auto" w:sz="4" w:space="0"/>
            </w:tcBorders>
            <w:shd w:val="clear" w:color="000000" w:fill="C0C0C0"/>
            <w:vAlign w:val="center"/>
          </w:tcPr>
          <w:p>
            <w:pPr>
              <w:widowControl/>
              <w:jc w:val="center"/>
              <w:rPr>
                <w:rFonts w:ascii="黑体" w:hAnsi="黑体" w:eastAsia="黑体" w:cs="宋体"/>
                <w:kern w:val="0"/>
                <w:sz w:val="20"/>
                <w:szCs w:val="20"/>
              </w:rPr>
            </w:pPr>
            <w:r>
              <w:rPr>
                <w:rFonts w:hint="eastAsia" w:ascii="黑体" w:hAnsi="黑体" w:eastAsia="黑体" w:cs="宋体"/>
                <w:kern w:val="0"/>
                <w:sz w:val="20"/>
                <w:szCs w:val="20"/>
              </w:rPr>
              <w:t>　</w:t>
            </w:r>
          </w:p>
        </w:tc>
        <w:tc>
          <w:tcPr>
            <w:tcW w:w="5820" w:type="dxa"/>
            <w:tcBorders>
              <w:top w:val="nil"/>
              <w:left w:val="nil"/>
              <w:bottom w:val="single" w:color="auto" w:sz="4" w:space="0"/>
            </w:tcBorders>
            <w:shd w:val="clear" w:color="000000" w:fill="C0C0C0"/>
            <w:vAlign w:val="center"/>
          </w:tcPr>
          <w:p>
            <w:pPr>
              <w:widowControl/>
              <w:jc w:val="left"/>
              <w:rPr>
                <w:rFonts w:ascii="黑体" w:hAnsi="黑体" w:eastAsia="黑体" w:cs="宋体"/>
                <w:kern w:val="0"/>
                <w:sz w:val="20"/>
                <w:szCs w:val="20"/>
              </w:rPr>
            </w:pPr>
            <w:r>
              <w:rPr>
                <w:rFonts w:hint="eastAsia" w:ascii="黑体" w:hAnsi="黑体" w:eastAsia="黑体" w:cs="宋体"/>
                <w:kern w:val="0"/>
                <w:sz w:val="20"/>
                <w:szCs w:val="20"/>
              </w:rPr>
              <w:t>　</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Layout w:type="fixed"/>
          <w:tblCellMar>
            <w:top w:w="0" w:type="dxa"/>
            <w:left w:w="108" w:type="dxa"/>
            <w:bottom w:w="0" w:type="dxa"/>
            <w:right w:w="108" w:type="dxa"/>
          </w:tblCellMar>
        </w:tblPrEx>
        <w:trPr>
          <w:trHeight w:val="285" w:hRule="atLeast"/>
        </w:trPr>
        <w:tc>
          <w:tcPr>
            <w:tcW w:w="861" w:type="dxa"/>
            <w:vMerge w:val="restart"/>
            <w:tcBorders>
              <w:top w:val="nil"/>
              <w:bottom w:val="single" w:color="auto" w:sz="4" w:space="0"/>
              <w:right w:val="single" w:color="auto" w:sz="4" w:space="0"/>
            </w:tcBorders>
            <w:shd w:val="clear" w:color="auto" w:fill="auto"/>
            <w:vAlign w:val="center"/>
          </w:tcPr>
          <w:p>
            <w:pPr>
              <w:widowControl/>
              <w:jc w:val="left"/>
              <w:rPr>
                <w:rFonts w:ascii="黑体" w:hAnsi="黑体" w:eastAsia="黑体" w:cs="宋体"/>
                <w:kern w:val="0"/>
                <w:sz w:val="20"/>
                <w:szCs w:val="20"/>
              </w:rPr>
            </w:pPr>
            <w:r>
              <w:rPr>
                <w:rFonts w:hint="eastAsia" w:ascii="黑体" w:hAnsi="黑体" w:eastAsia="黑体" w:cs="宋体"/>
                <w:kern w:val="0"/>
                <w:sz w:val="20"/>
                <w:szCs w:val="20"/>
              </w:rPr>
              <w:t>尿常规</w:t>
            </w:r>
          </w:p>
        </w:tc>
        <w:tc>
          <w:tcPr>
            <w:tcW w:w="1600" w:type="dxa"/>
            <w:tcBorders>
              <w:top w:val="nil"/>
              <w:left w:val="nil"/>
              <w:bottom w:val="single" w:color="auto" w:sz="4" w:space="0"/>
              <w:right w:val="single" w:color="auto" w:sz="4" w:space="0"/>
            </w:tcBorders>
            <w:shd w:val="clear" w:color="auto" w:fill="auto"/>
            <w:vAlign w:val="center"/>
          </w:tcPr>
          <w:p>
            <w:pPr>
              <w:widowControl/>
              <w:jc w:val="left"/>
              <w:rPr>
                <w:rFonts w:ascii="黑体" w:hAnsi="黑体" w:eastAsia="黑体" w:cs="宋体"/>
                <w:kern w:val="0"/>
                <w:sz w:val="20"/>
                <w:szCs w:val="20"/>
              </w:rPr>
            </w:pPr>
            <w:r>
              <w:rPr>
                <w:rFonts w:hint="eastAsia" w:ascii="黑体" w:hAnsi="黑体" w:eastAsia="黑体" w:cs="宋体"/>
                <w:kern w:val="0"/>
                <w:sz w:val="20"/>
                <w:szCs w:val="20"/>
              </w:rPr>
              <w:t>尿糖</w:t>
            </w:r>
          </w:p>
        </w:tc>
        <w:tc>
          <w:tcPr>
            <w:tcW w:w="640"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20"/>
                <w:szCs w:val="20"/>
              </w:rPr>
            </w:pPr>
            <w:r>
              <w:rPr>
                <w:rFonts w:hint="eastAsia" w:ascii="黑体" w:hAnsi="黑体" w:eastAsia="黑体" w:cs="宋体"/>
                <w:kern w:val="0"/>
                <w:sz w:val="20"/>
                <w:szCs w:val="20"/>
              </w:rPr>
              <w:t>●</w:t>
            </w:r>
          </w:p>
        </w:tc>
        <w:tc>
          <w:tcPr>
            <w:tcW w:w="640"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20"/>
                <w:szCs w:val="20"/>
              </w:rPr>
            </w:pPr>
            <w:r>
              <w:rPr>
                <w:rFonts w:hint="eastAsia" w:ascii="黑体" w:hAnsi="黑体" w:eastAsia="黑体" w:cs="宋体"/>
                <w:kern w:val="0"/>
                <w:sz w:val="20"/>
                <w:szCs w:val="20"/>
              </w:rPr>
              <w:t>●</w:t>
            </w:r>
          </w:p>
        </w:tc>
        <w:tc>
          <w:tcPr>
            <w:tcW w:w="640"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20"/>
                <w:szCs w:val="20"/>
              </w:rPr>
            </w:pPr>
            <w:r>
              <w:rPr>
                <w:rFonts w:hint="eastAsia" w:ascii="黑体" w:hAnsi="黑体" w:eastAsia="黑体" w:cs="宋体"/>
                <w:kern w:val="0"/>
                <w:sz w:val="20"/>
                <w:szCs w:val="20"/>
              </w:rPr>
              <w:t>●</w:t>
            </w:r>
          </w:p>
        </w:tc>
        <w:tc>
          <w:tcPr>
            <w:tcW w:w="5820" w:type="dxa"/>
            <w:vMerge w:val="restart"/>
            <w:tcBorders>
              <w:top w:val="nil"/>
              <w:left w:val="single" w:color="auto" w:sz="4" w:space="0"/>
              <w:bottom w:val="single" w:color="auto" w:sz="4" w:space="0"/>
            </w:tcBorders>
            <w:shd w:val="clear" w:color="auto" w:fill="auto"/>
            <w:vAlign w:val="center"/>
          </w:tcPr>
          <w:p>
            <w:pPr>
              <w:widowControl/>
              <w:jc w:val="left"/>
              <w:rPr>
                <w:rFonts w:ascii="黑体" w:hAnsi="黑体" w:eastAsia="黑体" w:cs="宋体"/>
                <w:kern w:val="0"/>
                <w:sz w:val="20"/>
                <w:szCs w:val="20"/>
              </w:rPr>
            </w:pPr>
            <w:r>
              <w:rPr>
                <w:rFonts w:hint="eastAsia" w:ascii="黑体" w:hAnsi="黑体" w:eastAsia="黑体" w:cs="宋体"/>
                <w:kern w:val="0"/>
                <w:sz w:val="20"/>
                <w:szCs w:val="20"/>
              </w:rPr>
              <w:t>辅助诊断泌尿系、肝胆疾病以及一些内分泌疾病的信息，为临床诊断提供有价值的信息。</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Layout w:type="fixed"/>
          <w:tblCellMar>
            <w:top w:w="0" w:type="dxa"/>
            <w:left w:w="108" w:type="dxa"/>
            <w:bottom w:w="0" w:type="dxa"/>
            <w:right w:w="108" w:type="dxa"/>
          </w:tblCellMar>
        </w:tblPrEx>
        <w:trPr>
          <w:trHeight w:val="285" w:hRule="atLeast"/>
        </w:trPr>
        <w:tc>
          <w:tcPr>
            <w:tcW w:w="861" w:type="dxa"/>
            <w:vMerge w:val="continue"/>
            <w:tcBorders>
              <w:top w:val="nil"/>
              <w:bottom w:val="single" w:color="auto" w:sz="4" w:space="0"/>
              <w:right w:val="single" w:color="auto" w:sz="4" w:space="0"/>
            </w:tcBorders>
            <w:vAlign w:val="center"/>
          </w:tcPr>
          <w:p>
            <w:pPr>
              <w:widowControl/>
              <w:jc w:val="left"/>
              <w:rPr>
                <w:rFonts w:ascii="黑体" w:hAnsi="黑体" w:eastAsia="黑体" w:cs="宋体"/>
                <w:kern w:val="0"/>
                <w:sz w:val="20"/>
                <w:szCs w:val="20"/>
              </w:rPr>
            </w:pPr>
          </w:p>
        </w:tc>
        <w:tc>
          <w:tcPr>
            <w:tcW w:w="1600" w:type="dxa"/>
            <w:tcBorders>
              <w:top w:val="nil"/>
              <w:left w:val="nil"/>
              <w:bottom w:val="single" w:color="auto" w:sz="4" w:space="0"/>
              <w:right w:val="single" w:color="auto" w:sz="4" w:space="0"/>
            </w:tcBorders>
            <w:shd w:val="clear" w:color="auto" w:fill="auto"/>
            <w:vAlign w:val="center"/>
          </w:tcPr>
          <w:p>
            <w:pPr>
              <w:widowControl/>
              <w:jc w:val="left"/>
              <w:rPr>
                <w:rFonts w:ascii="黑体" w:hAnsi="黑体" w:eastAsia="黑体" w:cs="宋体"/>
                <w:kern w:val="0"/>
                <w:sz w:val="20"/>
                <w:szCs w:val="20"/>
              </w:rPr>
            </w:pPr>
            <w:r>
              <w:rPr>
                <w:rFonts w:hint="eastAsia" w:ascii="黑体" w:hAnsi="黑体" w:eastAsia="黑体" w:cs="宋体"/>
                <w:kern w:val="0"/>
                <w:sz w:val="20"/>
                <w:szCs w:val="20"/>
              </w:rPr>
              <w:t>尿蛋白</w:t>
            </w:r>
          </w:p>
        </w:tc>
        <w:tc>
          <w:tcPr>
            <w:tcW w:w="640" w:type="dxa"/>
            <w:vMerge w:val="continue"/>
            <w:tcBorders>
              <w:top w:val="nil"/>
              <w:left w:val="single" w:color="auto" w:sz="4" w:space="0"/>
              <w:bottom w:val="single" w:color="auto" w:sz="4" w:space="0"/>
              <w:right w:val="single" w:color="auto" w:sz="4" w:space="0"/>
            </w:tcBorders>
            <w:vAlign w:val="center"/>
          </w:tcPr>
          <w:p>
            <w:pPr>
              <w:widowControl/>
              <w:jc w:val="left"/>
              <w:rPr>
                <w:rFonts w:ascii="黑体" w:hAnsi="黑体" w:eastAsia="黑体" w:cs="宋体"/>
                <w:kern w:val="0"/>
                <w:sz w:val="20"/>
                <w:szCs w:val="20"/>
              </w:rPr>
            </w:pPr>
          </w:p>
        </w:tc>
        <w:tc>
          <w:tcPr>
            <w:tcW w:w="640" w:type="dxa"/>
            <w:vMerge w:val="continue"/>
            <w:tcBorders>
              <w:top w:val="nil"/>
              <w:left w:val="single" w:color="auto" w:sz="4" w:space="0"/>
              <w:bottom w:val="single" w:color="auto" w:sz="4" w:space="0"/>
              <w:right w:val="single" w:color="auto" w:sz="4" w:space="0"/>
            </w:tcBorders>
            <w:vAlign w:val="center"/>
          </w:tcPr>
          <w:p>
            <w:pPr>
              <w:widowControl/>
              <w:jc w:val="left"/>
              <w:rPr>
                <w:rFonts w:ascii="黑体" w:hAnsi="黑体" w:eastAsia="黑体" w:cs="宋体"/>
                <w:kern w:val="0"/>
                <w:sz w:val="20"/>
                <w:szCs w:val="20"/>
              </w:rPr>
            </w:pPr>
          </w:p>
        </w:tc>
        <w:tc>
          <w:tcPr>
            <w:tcW w:w="640" w:type="dxa"/>
            <w:vMerge w:val="continue"/>
            <w:tcBorders>
              <w:top w:val="nil"/>
              <w:left w:val="single" w:color="auto" w:sz="4" w:space="0"/>
              <w:bottom w:val="single" w:color="auto" w:sz="4" w:space="0"/>
              <w:right w:val="single" w:color="auto" w:sz="4" w:space="0"/>
            </w:tcBorders>
            <w:vAlign w:val="center"/>
          </w:tcPr>
          <w:p>
            <w:pPr>
              <w:widowControl/>
              <w:jc w:val="left"/>
              <w:rPr>
                <w:rFonts w:ascii="黑体" w:hAnsi="黑体" w:eastAsia="黑体" w:cs="宋体"/>
                <w:kern w:val="0"/>
                <w:sz w:val="20"/>
                <w:szCs w:val="20"/>
              </w:rPr>
            </w:pPr>
          </w:p>
        </w:tc>
        <w:tc>
          <w:tcPr>
            <w:tcW w:w="5820" w:type="dxa"/>
            <w:vMerge w:val="continue"/>
            <w:tcBorders>
              <w:top w:val="nil"/>
              <w:left w:val="single" w:color="auto" w:sz="4" w:space="0"/>
              <w:bottom w:val="single" w:color="auto" w:sz="4" w:space="0"/>
            </w:tcBorders>
            <w:vAlign w:val="center"/>
          </w:tcPr>
          <w:p>
            <w:pPr>
              <w:widowControl/>
              <w:jc w:val="left"/>
              <w:rPr>
                <w:rFonts w:ascii="黑体" w:hAnsi="黑体" w:eastAsia="黑体" w:cs="宋体"/>
                <w:kern w:val="0"/>
                <w:sz w:val="20"/>
                <w:szCs w:val="20"/>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Layout w:type="fixed"/>
          <w:tblCellMar>
            <w:top w:w="0" w:type="dxa"/>
            <w:left w:w="108" w:type="dxa"/>
            <w:bottom w:w="0" w:type="dxa"/>
            <w:right w:w="108" w:type="dxa"/>
          </w:tblCellMar>
        </w:tblPrEx>
        <w:trPr>
          <w:trHeight w:val="285" w:hRule="atLeast"/>
        </w:trPr>
        <w:tc>
          <w:tcPr>
            <w:tcW w:w="861" w:type="dxa"/>
            <w:vMerge w:val="continue"/>
            <w:tcBorders>
              <w:top w:val="nil"/>
              <w:bottom w:val="single" w:color="auto" w:sz="4" w:space="0"/>
              <w:right w:val="single" w:color="auto" w:sz="4" w:space="0"/>
            </w:tcBorders>
            <w:vAlign w:val="center"/>
          </w:tcPr>
          <w:p>
            <w:pPr>
              <w:widowControl/>
              <w:jc w:val="left"/>
              <w:rPr>
                <w:rFonts w:ascii="黑体" w:hAnsi="黑体" w:eastAsia="黑体" w:cs="宋体"/>
                <w:kern w:val="0"/>
                <w:sz w:val="20"/>
                <w:szCs w:val="20"/>
              </w:rPr>
            </w:pPr>
          </w:p>
        </w:tc>
        <w:tc>
          <w:tcPr>
            <w:tcW w:w="1600" w:type="dxa"/>
            <w:tcBorders>
              <w:top w:val="nil"/>
              <w:left w:val="nil"/>
              <w:bottom w:val="single" w:color="auto" w:sz="4" w:space="0"/>
              <w:right w:val="single" w:color="auto" w:sz="4" w:space="0"/>
            </w:tcBorders>
            <w:shd w:val="clear" w:color="auto" w:fill="auto"/>
            <w:vAlign w:val="center"/>
          </w:tcPr>
          <w:p>
            <w:pPr>
              <w:widowControl/>
              <w:jc w:val="left"/>
              <w:rPr>
                <w:rFonts w:ascii="黑体" w:hAnsi="黑体" w:eastAsia="黑体" w:cs="宋体"/>
                <w:kern w:val="0"/>
                <w:sz w:val="20"/>
                <w:szCs w:val="20"/>
              </w:rPr>
            </w:pPr>
            <w:r>
              <w:rPr>
                <w:rFonts w:hint="eastAsia" w:ascii="黑体" w:hAnsi="黑体" w:eastAsia="黑体" w:cs="宋体"/>
                <w:kern w:val="0"/>
                <w:sz w:val="20"/>
                <w:szCs w:val="20"/>
              </w:rPr>
              <w:t>尿潜血</w:t>
            </w:r>
          </w:p>
        </w:tc>
        <w:tc>
          <w:tcPr>
            <w:tcW w:w="640" w:type="dxa"/>
            <w:vMerge w:val="continue"/>
            <w:tcBorders>
              <w:top w:val="nil"/>
              <w:left w:val="single" w:color="auto" w:sz="4" w:space="0"/>
              <w:bottom w:val="single" w:color="auto" w:sz="4" w:space="0"/>
              <w:right w:val="single" w:color="auto" w:sz="4" w:space="0"/>
            </w:tcBorders>
            <w:vAlign w:val="center"/>
          </w:tcPr>
          <w:p>
            <w:pPr>
              <w:widowControl/>
              <w:jc w:val="left"/>
              <w:rPr>
                <w:rFonts w:ascii="黑体" w:hAnsi="黑体" w:eastAsia="黑体" w:cs="宋体"/>
                <w:kern w:val="0"/>
                <w:sz w:val="20"/>
                <w:szCs w:val="20"/>
              </w:rPr>
            </w:pPr>
          </w:p>
        </w:tc>
        <w:tc>
          <w:tcPr>
            <w:tcW w:w="640" w:type="dxa"/>
            <w:vMerge w:val="continue"/>
            <w:tcBorders>
              <w:top w:val="nil"/>
              <w:left w:val="single" w:color="auto" w:sz="4" w:space="0"/>
              <w:bottom w:val="single" w:color="auto" w:sz="4" w:space="0"/>
              <w:right w:val="single" w:color="auto" w:sz="4" w:space="0"/>
            </w:tcBorders>
            <w:vAlign w:val="center"/>
          </w:tcPr>
          <w:p>
            <w:pPr>
              <w:widowControl/>
              <w:jc w:val="left"/>
              <w:rPr>
                <w:rFonts w:ascii="黑体" w:hAnsi="黑体" w:eastAsia="黑体" w:cs="宋体"/>
                <w:kern w:val="0"/>
                <w:sz w:val="20"/>
                <w:szCs w:val="20"/>
              </w:rPr>
            </w:pPr>
          </w:p>
        </w:tc>
        <w:tc>
          <w:tcPr>
            <w:tcW w:w="640" w:type="dxa"/>
            <w:vMerge w:val="continue"/>
            <w:tcBorders>
              <w:top w:val="nil"/>
              <w:left w:val="single" w:color="auto" w:sz="4" w:space="0"/>
              <w:bottom w:val="single" w:color="auto" w:sz="4" w:space="0"/>
              <w:right w:val="single" w:color="auto" w:sz="4" w:space="0"/>
            </w:tcBorders>
            <w:vAlign w:val="center"/>
          </w:tcPr>
          <w:p>
            <w:pPr>
              <w:widowControl/>
              <w:jc w:val="left"/>
              <w:rPr>
                <w:rFonts w:ascii="黑体" w:hAnsi="黑体" w:eastAsia="黑体" w:cs="宋体"/>
                <w:kern w:val="0"/>
                <w:sz w:val="20"/>
                <w:szCs w:val="20"/>
              </w:rPr>
            </w:pPr>
          </w:p>
        </w:tc>
        <w:tc>
          <w:tcPr>
            <w:tcW w:w="5820" w:type="dxa"/>
            <w:vMerge w:val="continue"/>
            <w:tcBorders>
              <w:top w:val="nil"/>
              <w:left w:val="single" w:color="auto" w:sz="4" w:space="0"/>
              <w:bottom w:val="single" w:color="auto" w:sz="4" w:space="0"/>
            </w:tcBorders>
            <w:vAlign w:val="center"/>
          </w:tcPr>
          <w:p>
            <w:pPr>
              <w:widowControl/>
              <w:jc w:val="left"/>
              <w:rPr>
                <w:rFonts w:ascii="黑体" w:hAnsi="黑体" w:eastAsia="黑体" w:cs="宋体"/>
                <w:kern w:val="0"/>
                <w:sz w:val="20"/>
                <w:szCs w:val="20"/>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Layout w:type="fixed"/>
        </w:tblPrEx>
        <w:trPr>
          <w:trHeight w:val="285" w:hRule="atLeast"/>
        </w:trPr>
        <w:tc>
          <w:tcPr>
            <w:tcW w:w="861" w:type="dxa"/>
            <w:vMerge w:val="continue"/>
            <w:tcBorders>
              <w:top w:val="nil"/>
              <w:bottom w:val="single" w:color="auto" w:sz="4" w:space="0"/>
              <w:right w:val="single" w:color="auto" w:sz="4" w:space="0"/>
            </w:tcBorders>
            <w:vAlign w:val="center"/>
          </w:tcPr>
          <w:p>
            <w:pPr>
              <w:widowControl/>
              <w:jc w:val="left"/>
              <w:rPr>
                <w:rFonts w:ascii="黑体" w:hAnsi="黑体" w:eastAsia="黑体" w:cs="宋体"/>
                <w:kern w:val="0"/>
                <w:sz w:val="20"/>
                <w:szCs w:val="20"/>
              </w:rPr>
            </w:pPr>
          </w:p>
        </w:tc>
        <w:tc>
          <w:tcPr>
            <w:tcW w:w="1600" w:type="dxa"/>
            <w:tcBorders>
              <w:top w:val="nil"/>
              <w:left w:val="nil"/>
              <w:bottom w:val="single" w:color="auto" w:sz="4" w:space="0"/>
              <w:right w:val="single" w:color="auto" w:sz="4" w:space="0"/>
            </w:tcBorders>
            <w:shd w:val="clear" w:color="auto" w:fill="auto"/>
            <w:vAlign w:val="center"/>
          </w:tcPr>
          <w:p>
            <w:pPr>
              <w:widowControl/>
              <w:jc w:val="left"/>
              <w:rPr>
                <w:rFonts w:ascii="黑体" w:hAnsi="黑体" w:eastAsia="黑体" w:cs="宋体"/>
                <w:kern w:val="0"/>
                <w:sz w:val="20"/>
                <w:szCs w:val="20"/>
              </w:rPr>
            </w:pPr>
            <w:r>
              <w:rPr>
                <w:rFonts w:hint="eastAsia" w:ascii="黑体" w:hAnsi="黑体" w:eastAsia="黑体" w:cs="宋体"/>
                <w:kern w:val="0"/>
                <w:sz w:val="20"/>
                <w:szCs w:val="20"/>
              </w:rPr>
              <w:t>比重</w:t>
            </w:r>
          </w:p>
        </w:tc>
        <w:tc>
          <w:tcPr>
            <w:tcW w:w="640" w:type="dxa"/>
            <w:vMerge w:val="continue"/>
            <w:tcBorders>
              <w:top w:val="nil"/>
              <w:left w:val="single" w:color="auto" w:sz="4" w:space="0"/>
              <w:bottom w:val="single" w:color="auto" w:sz="4" w:space="0"/>
              <w:right w:val="single" w:color="auto" w:sz="4" w:space="0"/>
            </w:tcBorders>
            <w:vAlign w:val="center"/>
          </w:tcPr>
          <w:p>
            <w:pPr>
              <w:widowControl/>
              <w:jc w:val="left"/>
              <w:rPr>
                <w:rFonts w:ascii="黑体" w:hAnsi="黑体" w:eastAsia="黑体" w:cs="宋体"/>
                <w:kern w:val="0"/>
                <w:sz w:val="20"/>
                <w:szCs w:val="20"/>
              </w:rPr>
            </w:pPr>
          </w:p>
        </w:tc>
        <w:tc>
          <w:tcPr>
            <w:tcW w:w="640" w:type="dxa"/>
            <w:vMerge w:val="continue"/>
            <w:tcBorders>
              <w:top w:val="nil"/>
              <w:left w:val="single" w:color="auto" w:sz="4" w:space="0"/>
              <w:bottom w:val="single" w:color="auto" w:sz="4" w:space="0"/>
              <w:right w:val="single" w:color="auto" w:sz="4" w:space="0"/>
            </w:tcBorders>
            <w:vAlign w:val="center"/>
          </w:tcPr>
          <w:p>
            <w:pPr>
              <w:widowControl/>
              <w:jc w:val="left"/>
              <w:rPr>
                <w:rFonts w:ascii="黑体" w:hAnsi="黑体" w:eastAsia="黑体" w:cs="宋体"/>
                <w:kern w:val="0"/>
                <w:sz w:val="20"/>
                <w:szCs w:val="20"/>
              </w:rPr>
            </w:pPr>
          </w:p>
        </w:tc>
        <w:tc>
          <w:tcPr>
            <w:tcW w:w="640" w:type="dxa"/>
            <w:vMerge w:val="continue"/>
            <w:tcBorders>
              <w:top w:val="nil"/>
              <w:left w:val="single" w:color="auto" w:sz="4" w:space="0"/>
              <w:bottom w:val="single" w:color="auto" w:sz="4" w:space="0"/>
              <w:right w:val="single" w:color="auto" w:sz="4" w:space="0"/>
            </w:tcBorders>
            <w:vAlign w:val="center"/>
          </w:tcPr>
          <w:p>
            <w:pPr>
              <w:widowControl/>
              <w:jc w:val="left"/>
              <w:rPr>
                <w:rFonts w:ascii="黑体" w:hAnsi="黑体" w:eastAsia="黑体" w:cs="宋体"/>
                <w:kern w:val="0"/>
                <w:sz w:val="20"/>
                <w:szCs w:val="20"/>
              </w:rPr>
            </w:pPr>
          </w:p>
        </w:tc>
        <w:tc>
          <w:tcPr>
            <w:tcW w:w="5820" w:type="dxa"/>
            <w:vMerge w:val="continue"/>
            <w:tcBorders>
              <w:top w:val="nil"/>
              <w:left w:val="single" w:color="auto" w:sz="4" w:space="0"/>
              <w:bottom w:val="single" w:color="auto" w:sz="4" w:space="0"/>
            </w:tcBorders>
            <w:vAlign w:val="center"/>
          </w:tcPr>
          <w:p>
            <w:pPr>
              <w:widowControl/>
              <w:jc w:val="left"/>
              <w:rPr>
                <w:rFonts w:ascii="黑体" w:hAnsi="黑体" w:eastAsia="黑体" w:cs="宋体"/>
                <w:kern w:val="0"/>
                <w:sz w:val="20"/>
                <w:szCs w:val="20"/>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Layout w:type="fixed"/>
          <w:tblCellMar>
            <w:top w:w="0" w:type="dxa"/>
            <w:left w:w="108" w:type="dxa"/>
            <w:bottom w:w="0" w:type="dxa"/>
            <w:right w:w="108" w:type="dxa"/>
          </w:tblCellMar>
        </w:tblPrEx>
        <w:trPr>
          <w:trHeight w:val="285" w:hRule="atLeast"/>
        </w:trPr>
        <w:tc>
          <w:tcPr>
            <w:tcW w:w="861" w:type="dxa"/>
            <w:vMerge w:val="continue"/>
            <w:tcBorders>
              <w:top w:val="nil"/>
              <w:bottom w:val="single" w:color="auto" w:sz="4" w:space="0"/>
              <w:right w:val="single" w:color="auto" w:sz="4" w:space="0"/>
            </w:tcBorders>
            <w:vAlign w:val="center"/>
          </w:tcPr>
          <w:p>
            <w:pPr>
              <w:widowControl/>
              <w:jc w:val="left"/>
              <w:rPr>
                <w:rFonts w:ascii="黑体" w:hAnsi="黑体" w:eastAsia="黑体" w:cs="宋体"/>
                <w:kern w:val="0"/>
                <w:sz w:val="20"/>
                <w:szCs w:val="20"/>
              </w:rPr>
            </w:pPr>
          </w:p>
        </w:tc>
        <w:tc>
          <w:tcPr>
            <w:tcW w:w="1600" w:type="dxa"/>
            <w:tcBorders>
              <w:top w:val="nil"/>
              <w:left w:val="nil"/>
              <w:bottom w:val="single" w:color="auto" w:sz="4" w:space="0"/>
              <w:right w:val="single" w:color="auto" w:sz="4" w:space="0"/>
            </w:tcBorders>
            <w:shd w:val="clear" w:color="auto" w:fill="auto"/>
            <w:vAlign w:val="center"/>
          </w:tcPr>
          <w:p>
            <w:pPr>
              <w:widowControl/>
              <w:jc w:val="left"/>
              <w:rPr>
                <w:rFonts w:ascii="黑体" w:hAnsi="黑体" w:eastAsia="黑体" w:cs="宋体"/>
                <w:kern w:val="0"/>
                <w:sz w:val="20"/>
                <w:szCs w:val="20"/>
              </w:rPr>
            </w:pPr>
            <w:r>
              <w:rPr>
                <w:rFonts w:hint="eastAsia" w:ascii="黑体" w:hAnsi="黑体" w:eastAsia="黑体" w:cs="宋体"/>
                <w:kern w:val="0"/>
                <w:sz w:val="20"/>
                <w:szCs w:val="20"/>
              </w:rPr>
              <w:t>………………</w:t>
            </w:r>
          </w:p>
        </w:tc>
        <w:tc>
          <w:tcPr>
            <w:tcW w:w="640" w:type="dxa"/>
            <w:vMerge w:val="continue"/>
            <w:tcBorders>
              <w:top w:val="nil"/>
              <w:left w:val="single" w:color="auto" w:sz="4" w:space="0"/>
              <w:bottom w:val="single" w:color="auto" w:sz="4" w:space="0"/>
              <w:right w:val="single" w:color="auto" w:sz="4" w:space="0"/>
            </w:tcBorders>
            <w:vAlign w:val="center"/>
          </w:tcPr>
          <w:p>
            <w:pPr>
              <w:widowControl/>
              <w:jc w:val="left"/>
              <w:rPr>
                <w:rFonts w:ascii="黑体" w:hAnsi="黑体" w:eastAsia="黑体" w:cs="宋体"/>
                <w:kern w:val="0"/>
                <w:sz w:val="20"/>
                <w:szCs w:val="20"/>
              </w:rPr>
            </w:pPr>
          </w:p>
        </w:tc>
        <w:tc>
          <w:tcPr>
            <w:tcW w:w="640" w:type="dxa"/>
            <w:vMerge w:val="continue"/>
            <w:tcBorders>
              <w:top w:val="nil"/>
              <w:left w:val="single" w:color="auto" w:sz="4" w:space="0"/>
              <w:bottom w:val="single" w:color="auto" w:sz="4" w:space="0"/>
              <w:right w:val="single" w:color="auto" w:sz="4" w:space="0"/>
            </w:tcBorders>
            <w:vAlign w:val="center"/>
          </w:tcPr>
          <w:p>
            <w:pPr>
              <w:widowControl/>
              <w:jc w:val="left"/>
              <w:rPr>
                <w:rFonts w:ascii="黑体" w:hAnsi="黑体" w:eastAsia="黑体" w:cs="宋体"/>
                <w:kern w:val="0"/>
                <w:sz w:val="20"/>
                <w:szCs w:val="20"/>
              </w:rPr>
            </w:pPr>
          </w:p>
        </w:tc>
        <w:tc>
          <w:tcPr>
            <w:tcW w:w="640" w:type="dxa"/>
            <w:vMerge w:val="continue"/>
            <w:tcBorders>
              <w:top w:val="nil"/>
              <w:left w:val="single" w:color="auto" w:sz="4" w:space="0"/>
              <w:bottom w:val="single" w:color="auto" w:sz="4" w:space="0"/>
              <w:right w:val="single" w:color="auto" w:sz="4" w:space="0"/>
            </w:tcBorders>
            <w:vAlign w:val="center"/>
          </w:tcPr>
          <w:p>
            <w:pPr>
              <w:widowControl/>
              <w:jc w:val="left"/>
              <w:rPr>
                <w:rFonts w:ascii="黑体" w:hAnsi="黑体" w:eastAsia="黑体" w:cs="宋体"/>
                <w:kern w:val="0"/>
                <w:sz w:val="20"/>
                <w:szCs w:val="20"/>
              </w:rPr>
            </w:pPr>
          </w:p>
        </w:tc>
        <w:tc>
          <w:tcPr>
            <w:tcW w:w="5820" w:type="dxa"/>
            <w:vMerge w:val="continue"/>
            <w:tcBorders>
              <w:top w:val="nil"/>
              <w:left w:val="single" w:color="auto" w:sz="4" w:space="0"/>
              <w:bottom w:val="single" w:color="auto" w:sz="4" w:space="0"/>
            </w:tcBorders>
            <w:vAlign w:val="center"/>
          </w:tcPr>
          <w:p>
            <w:pPr>
              <w:widowControl/>
              <w:jc w:val="left"/>
              <w:rPr>
                <w:rFonts w:ascii="黑体" w:hAnsi="黑体" w:eastAsia="黑体" w:cs="宋体"/>
                <w:kern w:val="0"/>
                <w:sz w:val="20"/>
                <w:szCs w:val="20"/>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Layout w:type="fixed"/>
          <w:tblCellMar>
            <w:top w:w="0" w:type="dxa"/>
            <w:left w:w="108" w:type="dxa"/>
            <w:bottom w:w="0" w:type="dxa"/>
            <w:right w:w="108" w:type="dxa"/>
          </w:tblCellMar>
        </w:tblPrEx>
        <w:trPr>
          <w:trHeight w:val="720" w:hRule="atLeast"/>
        </w:trPr>
        <w:tc>
          <w:tcPr>
            <w:tcW w:w="2461" w:type="dxa"/>
            <w:gridSpan w:val="2"/>
            <w:tcBorders>
              <w:top w:val="single" w:color="auto" w:sz="4" w:space="0"/>
              <w:bottom w:val="single" w:color="auto" w:sz="4" w:space="0"/>
              <w:right w:val="single" w:color="auto" w:sz="4" w:space="0"/>
            </w:tcBorders>
            <w:shd w:val="clear" w:color="auto" w:fill="auto"/>
            <w:vAlign w:val="center"/>
          </w:tcPr>
          <w:p>
            <w:pPr>
              <w:widowControl/>
              <w:jc w:val="left"/>
              <w:rPr>
                <w:rFonts w:ascii="黑体" w:hAnsi="黑体" w:eastAsia="黑体" w:cs="宋体"/>
                <w:color w:val="FF0000"/>
                <w:kern w:val="0"/>
                <w:sz w:val="20"/>
                <w:szCs w:val="20"/>
              </w:rPr>
            </w:pPr>
            <w:r>
              <w:rPr>
                <w:rFonts w:hint="eastAsia" w:ascii="黑体" w:hAnsi="黑体" w:eastAsia="黑体" w:cs="宋体"/>
                <w:color w:val="FF0000"/>
                <w:kern w:val="0"/>
                <w:sz w:val="20"/>
                <w:szCs w:val="20"/>
              </w:rPr>
              <w:t>尿液TCT(男性)</w:t>
            </w:r>
          </w:p>
        </w:tc>
        <w:tc>
          <w:tcPr>
            <w:tcW w:w="640"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color w:val="FF0000"/>
                <w:kern w:val="0"/>
                <w:sz w:val="20"/>
                <w:szCs w:val="20"/>
              </w:rPr>
            </w:pPr>
            <w:r>
              <w:rPr>
                <w:rFonts w:hint="eastAsia" w:ascii="黑体" w:hAnsi="黑体" w:eastAsia="黑体" w:cs="宋体"/>
                <w:color w:val="FF0000"/>
                <w:kern w:val="0"/>
                <w:sz w:val="20"/>
                <w:szCs w:val="20"/>
              </w:rPr>
              <w:t>●</w:t>
            </w:r>
          </w:p>
        </w:tc>
        <w:tc>
          <w:tcPr>
            <w:tcW w:w="640"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color w:val="FF0000"/>
                <w:kern w:val="0"/>
                <w:sz w:val="20"/>
                <w:szCs w:val="20"/>
              </w:rPr>
            </w:pPr>
            <w:r>
              <w:rPr>
                <w:rFonts w:hint="eastAsia" w:ascii="黑体" w:hAnsi="黑体" w:eastAsia="黑体" w:cs="宋体"/>
                <w:color w:val="FF0000"/>
                <w:kern w:val="0"/>
                <w:sz w:val="20"/>
                <w:szCs w:val="20"/>
              </w:rPr>
              <w:t>　</w:t>
            </w:r>
          </w:p>
        </w:tc>
        <w:tc>
          <w:tcPr>
            <w:tcW w:w="640"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color w:val="FF0000"/>
                <w:kern w:val="0"/>
                <w:sz w:val="20"/>
                <w:szCs w:val="20"/>
              </w:rPr>
            </w:pPr>
            <w:r>
              <w:rPr>
                <w:rFonts w:hint="eastAsia" w:ascii="黑体" w:hAnsi="黑体" w:eastAsia="黑体" w:cs="宋体"/>
                <w:color w:val="FF0000"/>
                <w:kern w:val="0"/>
                <w:sz w:val="20"/>
                <w:szCs w:val="20"/>
              </w:rPr>
              <w:t>　</w:t>
            </w:r>
          </w:p>
        </w:tc>
        <w:tc>
          <w:tcPr>
            <w:tcW w:w="5820" w:type="dxa"/>
            <w:tcBorders>
              <w:top w:val="nil"/>
              <w:left w:val="nil"/>
              <w:bottom w:val="single" w:color="auto" w:sz="4" w:space="0"/>
            </w:tcBorders>
            <w:shd w:val="clear" w:color="auto" w:fill="auto"/>
            <w:vAlign w:val="center"/>
          </w:tcPr>
          <w:p>
            <w:pPr>
              <w:widowControl/>
              <w:jc w:val="left"/>
              <w:rPr>
                <w:rFonts w:ascii="黑体" w:hAnsi="黑体" w:eastAsia="黑体" w:cs="宋体"/>
                <w:color w:val="FF0000"/>
                <w:kern w:val="0"/>
                <w:sz w:val="20"/>
                <w:szCs w:val="20"/>
              </w:rPr>
            </w:pPr>
            <w:r>
              <w:rPr>
                <w:rFonts w:hint="eastAsia" w:ascii="黑体" w:hAnsi="黑体" w:eastAsia="黑体" w:cs="宋体"/>
                <w:color w:val="FF0000"/>
                <w:kern w:val="0"/>
                <w:sz w:val="20"/>
                <w:szCs w:val="20"/>
              </w:rPr>
              <w:t>尿液脱落细胞学检查作为筛选膀胱肿瘤早期诊断的方法有其优越性，它方便、无痛苦，可在膀胱镜检查发现肿瘤之前数月发现可疑的细胞。</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Layout w:type="fixed"/>
          <w:tblCellMar>
            <w:top w:w="0" w:type="dxa"/>
            <w:left w:w="108" w:type="dxa"/>
            <w:bottom w:w="0" w:type="dxa"/>
            <w:right w:w="108" w:type="dxa"/>
          </w:tblCellMar>
        </w:tblPrEx>
        <w:trPr>
          <w:trHeight w:val="270" w:hRule="atLeast"/>
        </w:trPr>
        <w:tc>
          <w:tcPr>
            <w:tcW w:w="2461" w:type="dxa"/>
            <w:gridSpan w:val="2"/>
            <w:tcBorders>
              <w:top w:val="single" w:color="auto" w:sz="4" w:space="0"/>
              <w:bottom w:val="single" w:color="auto" w:sz="4" w:space="0"/>
              <w:right w:val="single" w:color="auto" w:sz="4" w:space="0"/>
            </w:tcBorders>
            <w:shd w:val="clear" w:color="000000" w:fill="C0C0C0"/>
            <w:vAlign w:val="center"/>
          </w:tcPr>
          <w:p>
            <w:pPr>
              <w:widowControl/>
              <w:jc w:val="left"/>
              <w:rPr>
                <w:rFonts w:ascii="黑体" w:hAnsi="黑体" w:eastAsia="黑体" w:cs="宋体"/>
                <w:b/>
                <w:bCs/>
                <w:kern w:val="0"/>
                <w:sz w:val="20"/>
                <w:szCs w:val="20"/>
              </w:rPr>
            </w:pPr>
            <w:r>
              <w:rPr>
                <w:rFonts w:hint="eastAsia" w:ascii="黑体" w:hAnsi="黑体" w:eastAsia="黑体" w:cs="宋体"/>
                <w:b/>
                <w:bCs/>
                <w:kern w:val="0"/>
                <w:sz w:val="20"/>
                <w:szCs w:val="20"/>
              </w:rPr>
              <w:t>粪便检查</w:t>
            </w:r>
          </w:p>
        </w:tc>
        <w:tc>
          <w:tcPr>
            <w:tcW w:w="640" w:type="dxa"/>
            <w:tcBorders>
              <w:top w:val="nil"/>
              <w:left w:val="nil"/>
              <w:bottom w:val="single" w:color="auto" w:sz="4" w:space="0"/>
              <w:right w:val="single" w:color="auto" w:sz="4" w:space="0"/>
            </w:tcBorders>
            <w:shd w:val="clear" w:color="000000" w:fill="C0C0C0"/>
            <w:vAlign w:val="center"/>
          </w:tcPr>
          <w:p>
            <w:pPr>
              <w:widowControl/>
              <w:jc w:val="center"/>
              <w:rPr>
                <w:rFonts w:ascii="黑体" w:hAnsi="黑体" w:eastAsia="黑体" w:cs="宋体"/>
                <w:kern w:val="0"/>
                <w:sz w:val="20"/>
                <w:szCs w:val="20"/>
              </w:rPr>
            </w:pPr>
            <w:r>
              <w:rPr>
                <w:rFonts w:hint="eastAsia" w:ascii="黑体" w:hAnsi="黑体" w:eastAsia="黑体" w:cs="宋体"/>
                <w:kern w:val="0"/>
                <w:sz w:val="20"/>
                <w:szCs w:val="20"/>
              </w:rPr>
              <w:t>　</w:t>
            </w:r>
          </w:p>
        </w:tc>
        <w:tc>
          <w:tcPr>
            <w:tcW w:w="640" w:type="dxa"/>
            <w:tcBorders>
              <w:top w:val="nil"/>
              <w:left w:val="nil"/>
              <w:bottom w:val="single" w:color="auto" w:sz="4" w:space="0"/>
              <w:right w:val="single" w:color="auto" w:sz="4" w:space="0"/>
            </w:tcBorders>
            <w:shd w:val="clear" w:color="000000" w:fill="C0C0C0"/>
            <w:vAlign w:val="center"/>
          </w:tcPr>
          <w:p>
            <w:pPr>
              <w:widowControl/>
              <w:jc w:val="center"/>
              <w:rPr>
                <w:rFonts w:ascii="黑体" w:hAnsi="黑体" w:eastAsia="黑体" w:cs="宋体"/>
                <w:kern w:val="0"/>
                <w:sz w:val="20"/>
                <w:szCs w:val="20"/>
              </w:rPr>
            </w:pPr>
            <w:r>
              <w:rPr>
                <w:rFonts w:hint="eastAsia" w:ascii="黑体" w:hAnsi="黑体" w:eastAsia="黑体" w:cs="宋体"/>
                <w:kern w:val="0"/>
                <w:sz w:val="20"/>
                <w:szCs w:val="20"/>
              </w:rPr>
              <w:t>　</w:t>
            </w:r>
          </w:p>
        </w:tc>
        <w:tc>
          <w:tcPr>
            <w:tcW w:w="640" w:type="dxa"/>
            <w:tcBorders>
              <w:top w:val="nil"/>
              <w:left w:val="nil"/>
              <w:bottom w:val="single" w:color="auto" w:sz="4" w:space="0"/>
              <w:right w:val="single" w:color="auto" w:sz="4" w:space="0"/>
            </w:tcBorders>
            <w:shd w:val="clear" w:color="000000" w:fill="C0C0C0"/>
            <w:vAlign w:val="center"/>
          </w:tcPr>
          <w:p>
            <w:pPr>
              <w:widowControl/>
              <w:jc w:val="center"/>
              <w:rPr>
                <w:rFonts w:ascii="黑体" w:hAnsi="黑体" w:eastAsia="黑体" w:cs="宋体"/>
                <w:kern w:val="0"/>
                <w:sz w:val="20"/>
                <w:szCs w:val="20"/>
              </w:rPr>
            </w:pPr>
            <w:r>
              <w:rPr>
                <w:rFonts w:hint="eastAsia" w:ascii="黑体" w:hAnsi="黑体" w:eastAsia="黑体" w:cs="宋体"/>
                <w:kern w:val="0"/>
                <w:sz w:val="20"/>
                <w:szCs w:val="20"/>
              </w:rPr>
              <w:t>　</w:t>
            </w:r>
          </w:p>
        </w:tc>
        <w:tc>
          <w:tcPr>
            <w:tcW w:w="5820" w:type="dxa"/>
            <w:tcBorders>
              <w:top w:val="nil"/>
              <w:left w:val="nil"/>
              <w:bottom w:val="single" w:color="auto" w:sz="4" w:space="0"/>
            </w:tcBorders>
            <w:shd w:val="clear" w:color="000000" w:fill="C0C0C0"/>
            <w:vAlign w:val="center"/>
          </w:tcPr>
          <w:p>
            <w:pPr>
              <w:widowControl/>
              <w:jc w:val="left"/>
              <w:rPr>
                <w:rFonts w:ascii="黑体" w:hAnsi="黑体" w:eastAsia="黑体" w:cs="宋体"/>
                <w:kern w:val="0"/>
                <w:sz w:val="20"/>
                <w:szCs w:val="20"/>
              </w:rPr>
            </w:pPr>
            <w:r>
              <w:rPr>
                <w:rFonts w:hint="eastAsia" w:ascii="黑体" w:hAnsi="黑体" w:eastAsia="黑体" w:cs="宋体"/>
                <w:kern w:val="0"/>
                <w:sz w:val="20"/>
                <w:szCs w:val="20"/>
              </w:rPr>
              <w:t>　</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Layout w:type="fixed"/>
          <w:tblCellMar>
            <w:top w:w="0" w:type="dxa"/>
            <w:left w:w="108" w:type="dxa"/>
            <w:bottom w:w="0" w:type="dxa"/>
            <w:right w:w="108" w:type="dxa"/>
          </w:tblCellMar>
        </w:tblPrEx>
        <w:trPr>
          <w:trHeight w:val="360" w:hRule="atLeast"/>
        </w:trPr>
        <w:tc>
          <w:tcPr>
            <w:tcW w:w="861" w:type="dxa"/>
            <w:vMerge w:val="restart"/>
            <w:tcBorders>
              <w:top w:val="nil"/>
              <w:bottom w:val="single" w:color="auto" w:sz="4" w:space="0"/>
              <w:right w:val="single" w:color="auto" w:sz="4" w:space="0"/>
            </w:tcBorders>
            <w:shd w:val="clear" w:color="auto" w:fill="auto"/>
            <w:vAlign w:val="center"/>
          </w:tcPr>
          <w:p>
            <w:pPr>
              <w:widowControl/>
              <w:jc w:val="left"/>
              <w:rPr>
                <w:rFonts w:ascii="黑体" w:hAnsi="黑体" w:eastAsia="黑体" w:cs="宋体"/>
                <w:kern w:val="0"/>
                <w:sz w:val="20"/>
                <w:szCs w:val="20"/>
              </w:rPr>
            </w:pPr>
            <w:r>
              <w:rPr>
                <w:rFonts w:hint="eastAsia" w:ascii="黑体" w:hAnsi="黑体" w:eastAsia="黑体" w:cs="宋体"/>
                <w:kern w:val="0"/>
                <w:sz w:val="20"/>
                <w:szCs w:val="20"/>
              </w:rPr>
              <w:t>粪便检测</w:t>
            </w:r>
          </w:p>
        </w:tc>
        <w:tc>
          <w:tcPr>
            <w:tcW w:w="1600" w:type="dxa"/>
            <w:tcBorders>
              <w:top w:val="nil"/>
              <w:left w:val="nil"/>
              <w:bottom w:val="single" w:color="auto" w:sz="4" w:space="0"/>
              <w:right w:val="single" w:color="auto" w:sz="4" w:space="0"/>
            </w:tcBorders>
            <w:shd w:val="clear" w:color="auto" w:fill="auto"/>
            <w:vAlign w:val="center"/>
          </w:tcPr>
          <w:p>
            <w:pPr>
              <w:widowControl/>
              <w:jc w:val="left"/>
              <w:rPr>
                <w:rFonts w:ascii="黑体" w:hAnsi="黑体" w:eastAsia="黑体" w:cs="宋体"/>
                <w:kern w:val="0"/>
                <w:sz w:val="20"/>
                <w:szCs w:val="20"/>
              </w:rPr>
            </w:pPr>
            <w:r>
              <w:rPr>
                <w:rFonts w:hint="eastAsia" w:ascii="黑体" w:hAnsi="黑体" w:eastAsia="黑体" w:cs="宋体"/>
                <w:kern w:val="0"/>
                <w:sz w:val="20"/>
                <w:szCs w:val="20"/>
              </w:rPr>
              <w:t>便常规</w:t>
            </w:r>
          </w:p>
        </w:tc>
        <w:tc>
          <w:tcPr>
            <w:tcW w:w="640"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20"/>
                <w:szCs w:val="20"/>
              </w:rPr>
            </w:pPr>
            <w:r>
              <w:rPr>
                <w:rFonts w:hint="eastAsia" w:ascii="黑体" w:hAnsi="黑体" w:eastAsia="黑体" w:cs="宋体"/>
                <w:kern w:val="0"/>
                <w:sz w:val="20"/>
                <w:szCs w:val="20"/>
              </w:rPr>
              <w:t>●</w:t>
            </w:r>
          </w:p>
        </w:tc>
        <w:tc>
          <w:tcPr>
            <w:tcW w:w="640"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20"/>
                <w:szCs w:val="20"/>
              </w:rPr>
            </w:pPr>
            <w:r>
              <w:rPr>
                <w:rFonts w:hint="eastAsia" w:ascii="黑体" w:hAnsi="黑体" w:eastAsia="黑体" w:cs="宋体"/>
                <w:kern w:val="0"/>
                <w:sz w:val="20"/>
                <w:szCs w:val="20"/>
              </w:rPr>
              <w:t>●</w:t>
            </w:r>
          </w:p>
        </w:tc>
        <w:tc>
          <w:tcPr>
            <w:tcW w:w="640"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20"/>
                <w:szCs w:val="20"/>
              </w:rPr>
            </w:pPr>
            <w:r>
              <w:rPr>
                <w:rFonts w:hint="eastAsia" w:ascii="黑体" w:hAnsi="黑体" w:eastAsia="黑体" w:cs="宋体"/>
                <w:kern w:val="0"/>
                <w:sz w:val="20"/>
                <w:szCs w:val="20"/>
              </w:rPr>
              <w:t>●</w:t>
            </w:r>
          </w:p>
        </w:tc>
        <w:tc>
          <w:tcPr>
            <w:tcW w:w="5820" w:type="dxa"/>
            <w:vMerge w:val="restart"/>
            <w:tcBorders>
              <w:top w:val="nil"/>
              <w:left w:val="single" w:color="auto" w:sz="4" w:space="0"/>
              <w:bottom w:val="single" w:color="auto" w:sz="4" w:space="0"/>
            </w:tcBorders>
            <w:shd w:val="clear" w:color="auto" w:fill="auto"/>
            <w:vAlign w:val="center"/>
          </w:tcPr>
          <w:p>
            <w:pPr>
              <w:widowControl/>
              <w:jc w:val="left"/>
              <w:rPr>
                <w:rFonts w:ascii="黑体" w:hAnsi="黑体" w:eastAsia="黑体" w:cs="宋体"/>
                <w:kern w:val="0"/>
                <w:sz w:val="20"/>
                <w:szCs w:val="20"/>
              </w:rPr>
            </w:pPr>
            <w:r>
              <w:rPr>
                <w:rFonts w:hint="eastAsia" w:ascii="黑体" w:hAnsi="黑体" w:eastAsia="黑体" w:cs="宋体"/>
                <w:kern w:val="0"/>
                <w:sz w:val="20"/>
                <w:szCs w:val="20"/>
              </w:rPr>
              <w:t>了解消化系统的功能状况，如有无肠道寄生虫、消化系统出血、感染等以及大肠、直肠癌的筛查。对胃癌的早期发现也有一定的价值。</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Layout w:type="fixed"/>
          <w:tblCellMar>
            <w:top w:w="0" w:type="dxa"/>
            <w:left w:w="108" w:type="dxa"/>
            <w:bottom w:w="0" w:type="dxa"/>
            <w:right w:w="108" w:type="dxa"/>
          </w:tblCellMar>
        </w:tblPrEx>
        <w:trPr>
          <w:trHeight w:val="480" w:hRule="atLeast"/>
        </w:trPr>
        <w:tc>
          <w:tcPr>
            <w:tcW w:w="861" w:type="dxa"/>
            <w:vMerge w:val="continue"/>
            <w:tcBorders>
              <w:top w:val="nil"/>
              <w:bottom w:val="single" w:color="auto" w:sz="4" w:space="0"/>
              <w:right w:val="single" w:color="auto" w:sz="4" w:space="0"/>
            </w:tcBorders>
            <w:vAlign w:val="center"/>
          </w:tcPr>
          <w:p>
            <w:pPr>
              <w:widowControl/>
              <w:jc w:val="left"/>
              <w:rPr>
                <w:rFonts w:ascii="黑体" w:hAnsi="黑体" w:eastAsia="黑体" w:cs="宋体"/>
                <w:kern w:val="0"/>
                <w:sz w:val="20"/>
                <w:szCs w:val="20"/>
              </w:rPr>
            </w:pPr>
          </w:p>
        </w:tc>
        <w:tc>
          <w:tcPr>
            <w:tcW w:w="1600" w:type="dxa"/>
            <w:tcBorders>
              <w:top w:val="nil"/>
              <w:left w:val="nil"/>
              <w:bottom w:val="single" w:color="auto" w:sz="4" w:space="0"/>
              <w:right w:val="single" w:color="auto" w:sz="4" w:space="0"/>
            </w:tcBorders>
            <w:shd w:val="clear" w:color="auto" w:fill="auto"/>
            <w:vAlign w:val="center"/>
          </w:tcPr>
          <w:p>
            <w:pPr>
              <w:widowControl/>
              <w:jc w:val="left"/>
              <w:rPr>
                <w:rFonts w:ascii="黑体" w:hAnsi="黑体" w:eastAsia="黑体" w:cs="宋体"/>
                <w:kern w:val="0"/>
                <w:sz w:val="20"/>
                <w:szCs w:val="20"/>
              </w:rPr>
            </w:pPr>
            <w:r>
              <w:rPr>
                <w:rFonts w:hint="eastAsia" w:ascii="黑体" w:hAnsi="黑体" w:eastAsia="黑体" w:cs="宋体"/>
                <w:kern w:val="0"/>
                <w:sz w:val="20"/>
                <w:szCs w:val="20"/>
              </w:rPr>
              <w:t>粪便隐血试验</w:t>
            </w:r>
          </w:p>
        </w:tc>
        <w:tc>
          <w:tcPr>
            <w:tcW w:w="640"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20"/>
                <w:szCs w:val="20"/>
              </w:rPr>
            </w:pPr>
            <w:r>
              <w:rPr>
                <w:rFonts w:hint="eastAsia" w:ascii="黑体" w:hAnsi="黑体" w:eastAsia="黑体" w:cs="宋体"/>
                <w:kern w:val="0"/>
                <w:sz w:val="20"/>
                <w:szCs w:val="20"/>
              </w:rPr>
              <w:t>●</w:t>
            </w:r>
          </w:p>
        </w:tc>
        <w:tc>
          <w:tcPr>
            <w:tcW w:w="640"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20"/>
                <w:szCs w:val="20"/>
              </w:rPr>
            </w:pPr>
            <w:r>
              <w:rPr>
                <w:rFonts w:hint="eastAsia" w:ascii="黑体" w:hAnsi="黑体" w:eastAsia="黑体" w:cs="宋体"/>
                <w:kern w:val="0"/>
                <w:sz w:val="20"/>
                <w:szCs w:val="20"/>
              </w:rPr>
              <w:t>●</w:t>
            </w:r>
          </w:p>
        </w:tc>
        <w:tc>
          <w:tcPr>
            <w:tcW w:w="640"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20"/>
                <w:szCs w:val="20"/>
              </w:rPr>
            </w:pPr>
            <w:r>
              <w:rPr>
                <w:rFonts w:hint="eastAsia" w:ascii="黑体" w:hAnsi="黑体" w:eastAsia="黑体" w:cs="宋体"/>
                <w:kern w:val="0"/>
                <w:sz w:val="20"/>
                <w:szCs w:val="20"/>
              </w:rPr>
              <w:t>●</w:t>
            </w:r>
          </w:p>
        </w:tc>
        <w:tc>
          <w:tcPr>
            <w:tcW w:w="5820" w:type="dxa"/>
            <w:vMerge w:val="continue"/>
            <w:tcBorders>
              <w:top w:val="nil"/>
              <w:left w:val="single" w:color="auto" w:sz="4" w:space="0"/>
              <w:bottom w:val="single" w:color="auto" w:sz="4" w:space="0"/>
            </w:tcBorders>
            <w:vAlign w:val="center"/>
          </w:tcPr>
          <w:p>
            <w:pPr>
              <w:widowControl/>
              <w:jc w:val="left"/>
              <w:rPr>
                <w:rFonts w:ascii="黑体" w:hAnsi="黑体" w:eastAsia="黑体" w:cs="宋体"/>
                <w:kern w:val="0"/>
                <w:sz w:val="20"/>
                <w:szCs w:val="20"/>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Layout w:type="fixed"/>
        </w:tblPrEx>
        <w:trPr>
          <w:trHeight w:val="270" w:hRule="atLeast"/>
        </w:trPr>
        <w:tc>
          <w:tcPr>
            <w:tcW w:w="2461" w:type="dxa"/>
            <w:gridSpan w:val="2"/>
            <w:tcBorders>
              <w:top w:val="single" w:color="auto" w:sz="4" w:space="0"/>
              <w:bottom w:val="single" w:color="auto" w:sz="4" w:space="0"/>
              <w:right w:val="single" w:color="auto" w:sz="4" w:space="0"/>
            </w:tcBorders>
            <w:shd w:val="clear" w:color="000000" w:fill="C0C0C0"/>
            <w:vAlign w:val="center"/>
          </w:tcPr>
          <w:p>
            <w:pPr>
              <w:widowControl/>
              <w:jc w:val="left"/>
              <w:rPr>
                <w:rFonts w:ascii="黑体" w:hAnsi="黑体" w:eastAsia="黑体" w:cs="宋体"/>
                <w:b/>
                <w:bCs/>
                <w:kern w:val="0"/>
                <w:sz w:val="20"/>
                <w:szCs w:val="20"/>
              </w:rPr>
            </w:pPr>
            <w:r>
              <w:rPr>
                <w:rFonts w:hint="eastAsia" w:ascii="黑体" w:hAnsi="黑体" w:eastAsia="黑体" w:cs="宋体"/>
                <w:b/>
                <w:bCs/>
                <w:kern w:val="0"/>
                <w:sz w:val="20"/>
                <w:szCs w:val="20"/>
              </w:rPr>
              <w:t>肝胆疾病检测系列</w:t>
            </w:r>
          </w:p>
        </w:tc>
        <w:tc>
          <w:tcPr>
            <w:tcW w:w="640" w:type="dxa"/>
            <w:tcBorders>
              <w:top w:val="nil"/>
              <w:left w:val="nil"/>
              <w:bottom w:val="single" w:color="auto" w:sz="4" w:space="0"/>
              <w:right w:val="single" w:color="auto" w:sz="4" w:space="0"/>
            </w:tcBorders>
            <w:shd w:val="clear" w:color="000000" w:fill="C0C0C0"/>
            <w:vAlign w:val="center"/>
          </w:tcPr>
          <w:p>
            <w:pPr>
              <w:widowControl/>
              <w:jc w:val="center"/>
              <w:rPr>
                <w:rFonts w:ascii="黑体" w:hAnsi="黑体" w:eastAsia="黑体" w:cs="宋体"/>
                <w:b/>
                <w:bCs/>
                <w:kern w:val="0"/>
                <w:sz w:val="20"/>
                <w:szCs w:val="20"/>
              </w:rPr>
            </w:pPr>
            <w:r>
              <w:rPr>
                <w:rFonts w:hint="eastAsia" w:ascii="黑体" w:hAnsi="黑体" w:eastAsia="黑体" w:cs="宋体"/>
                <w:b/>
                <w:bCs/>
                <w:kern w:val="0"/>
                <w:sz w:val="20"/>
                <w:szCs w:val="20"/>
              </w:rPr>
              <w:t>　</w:t>
            </w:r>
          </w:p>
        </w:tc>
        <w:tc>
          <w:tcPr>
            <w:tcW w:w="640" w:type="dxa"/>
            <w:tcBorders>
              <w:top w:val="nil"/>
              <w:left w:val="nil"/>
              <w:bottom w:val="single" w:color="auto" w:sz="4" w:space="0"/>
              <w:right w:val="single" w:color="auto" w:sz="4" w:space="0"/>
            </w:tcBorders>
            <w:shd w:val="clear" w:color="000000" w:fill="C0C0C0"/>
            <w:vAlign w:val="center"/>
          </w:tcPr>
          <w:p>
            <w:pPr>
              <w:widowControl/>
              <w:jc w:val="center"/>
              <w:rPr>
                <w:rFonts w:ascii="黑体" w:hAnsi="黑体" w:eastAsia="黑体" w:cs="宋体"/>
                <w:b/>
                <w:bCs/>
                <w:kern w:val="0"/>
                <w:sz w:val="20"/>
                <w:szCs w:val="20"/>
              </w:rPr>
            </w:pPr>
            <w:r>
              <w:rPr>
                <w:rFonts w:hint="eastAsia" w:ascii="黑体" w:hAnsi="黑体" w:eastAsia="黑体" w:cs="宋体"/>
                <w:b/>
                <w:bCs/>
                <w:kern w:val="0"/>
                <w:sz w:val="20"/>
                <w:szCs w:val="20"/>
              </w:rPr>
              <w:t>　</w:t>
            </w:r>
          </w:p>
        </w:tc>
        <w:tc>
          <w:tcPr>
            <w:tcW w:w="640" w:type="dxa"/>
            <w:tcBorders>
              <w:top w:val="nil"/>
              <w:left w:val="nil"/>
              <w:bottom w:val="single" w:color="auto" w:sz="4" w:space="0"/>
              <w:right w:val="single" w:color="auto" w:sz="4" w:space="0"/>
            </w:tcBorders>
            <w:shd w:val="clear" w:color="000000" w:fill="C0C0C0"/>
            <w:vAlign w:val="center"/>
          </w:tcPr>
          <w:p>
            <w:pPr>
              <w:widowControl/>
              <w:jc w:val="center"/>
              <w:rPr>
                <w:rFonts w:ascii="黑体" w:hAnsi="黑体" w:eastAsia="黑体" w:cs="宋体"/>
                <w:b/>
                <w:bCs/>
                <w:kern w:val="0"/>
                <w:sz w:val="20"/>
                <w:szCs w:val="20"/>
              </w:rPr>
            </w:pPr>
            <w:r>
              <w:rPr>
                <w:rFonts w:hint="eastAsia" w:ascii="黑体" w:hAnsi="黑体" w:eastAsia="黑体" w:cs="宋体"/>
                <w:b/>
                <w:bCs/>
                <w:kern w:val="0"/>
                <w:sz w:val="20"/>
                <w:szCs w:val="20"/>
              </w:rPr>
              <w:t>　</w:t>
            </w:r>
          </w:p>
        </w:tc>
        <w:tc>
          <w:tcPr>
            <w:tcW w:w="5820" w:type="dxa"/>
            <w:tcBorders>
              <w:top w:val="nil"/>
              <w:left w:val="nil"/>
              <w:bottom w:val="single" w:color="auto" w:sz="4" w:space="0"/>
            </w:tcBorders>
            <w:shd w:val="clear" w:color="000000" w:fill="C0C0C0"/>
            <w:vAlign w:val="center"/>
          </w:tcPr>
          <w:p>
            <w:pPr>
              <w:widowControl/>
              <w:jc w:val="center"/>
              <w:rPr>
                <w:rFonts w:ascii="黑体" w:hAnsi="黑体" w:eastAsia="黑体" w:cs="宋体"/>
                <w:b/>
                <w:bCs/>
                <w:kern w:val="0"/>
                <w:sz w:val="20"/>
                <w:szCs w:val="20"/>
              </w:rPr>
            </w:pPr>
            <w:r>
              <w:rPr>
                <w:rFonts w:hint="eastAsia" w:ascii="黑体" w:hAnsi="黑体" w:eastAsia="黑体" w:cs="宋体"/>
                <w:b/>
                <w:bCs/>
                <w:kern w:val="0"/>
                <w:sz w:val="20"/>
                <w:szCs w:val="20"/>
              </w:rPr>
              <w:t>　</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Layout w:type="fixed"/>
          <w:tblCellMar>
            <w:top w:w="0" w:type="dxa"/>
            <w:left w:w="108" w:type="dxa"/>
            <w:bottom w:w="0" w:type="dxa"/>
            <w:right w:w="108" w:type="dxa"/>
          </w:tblCellMar>
        </w:tblPrEx>
        <w:trPr>
          <w:trHeight w:val="582" w:hRule="atLeast"/>
        </w:trPr>
        <w:tc>
          <w:tcPr>
            <w:tcW w:w="2461" w:type="dxa"/>
            <w:gridSpan w:val="2"/>
            <w:tcBorders>
              <w:top w:val="single" w:color="auto" w:sz="4" w:space="0"/>
              <w:bottom w:val="single" w:color="auto" w:sz="4" w:space="0"/>
              <w:right w:val="single" w:color="auto" w:sz="4" w:space="0"/>
            </w:tcBorders>
            <w:shd w:val="clear" w:color="auto" w:fill="auto"/>
            <w:vAlign w:val="center"/>
          </w:tcPr>
          <w:p>
            <w:pPr>
              <w:widowControl/>
              <w:jc w:val="left"/>
              <w:rPr>
                <w:rFonts w:ascii="黑体" w:hAnsi="黑体" w:eastAsia="黑体" w:cs="宋体"/>
                <w:kern w:val="0"/>
                <w:sz w:val="20"/>
                <w:szCs w:val="20"/>
              </w:rPr>
            </w:pPr>
            <w:r>
              <w:rPr>
                <w:rFonts w:hint="eastAsia" w:ascii="黑体" w:hAnsi="黑体" w:eastAsia="黑体" w:cs="宋体"/>
                <w:kern w:val="0"/>
                <w:sz w:val="20"/>
                <w:szCs w:val="20"/>
              </w:rPr>
              <w:t>血清丙氨酸氨基转移酶测定(ALT or GPT)</w:t>
            </w:r>
          </w:p>
        </w:tc>
        <w:tc>
          <w:tcPr>
            <w:tcW w:w="640"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20"/>
                <w:szCs w:val="20"/>
              </w:rPr>
            </w:pPr>
            <w:r>
              <w:rPr>
                <w:rFonts w:hint="eastAsia" w:ascii="黑体" w:hAnsi="黑体" w:eastAsia="黑体" w:cs="宋体"/>
                <w:kern w:val="0"/>
                <w:sz w:val="20"/>
                <w:szCs w:val="20"/>
              </w:rPr>
              <w:t>●</w:t>
            </w:r>
          </w:p>
        </w:tc>
        <w:tc>
          <w:tcPr>
            <w:tcW w:w="640"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20"/>
                <w:szCs w:val="20"/>
              </w:rPr>
            </w:pPr>
            <w:r>
              <w:rPr>
                <w:rFonts w:hint="eastAsia" w:ascii="黑体" w:hAnsi="黑体" w:eastAsia="黑体" w:cs="宋体"/>
                <w:kern w:val="0"/>
                <w:sz w:val="20"/>
                <w:szCs w:val="20"/>
              </w:rPr>
              <w:t>●</w:t>
            </w:r>
          </w:p>
        </w:tc>
        <w:tc>
          <w:tcPr>
            <w:tcW w:w="640"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20"/>
                <w:szCs w:val="20"/>
              </w:rPr>
            </w:pPr>
            <w:r>
              <w:rPr>
                <w:rFonts w:hint="eastAsia" w:ascii="黑体" w:hAnsi="黑体" w:eastAsia="黑体" w:cs="宋体"/>
                <w:kern w:val="0"/>
                <w:sz w:val="20"/>
                <w:szCs w:val="20"/>
              </w:rPr>
              <w:t>●</w:t>
            </w:r>
          </w:p>
        </w:tc>
        <w:tc>
          <w:tcPr>
            <w:tcW w:w="5820" w:type="dxa"/>
            <w:tcBorders>
              <w:top w:val="nil"/>
              <w:left w:val="nil"/>
              <w:bottom w:val="single" w:color="auto" w:sz="4" w:space="0"/>
            </w:tcBorders>
            <w:shd w:val="clear" w:color="auto" w:fill="auto"/>
            <w:vAlign w:val="center"/>
          </w:tcPr>
          <w:p>
            <w:pPr>
              <w:widowControl/>
              <w:jc w:val="left"/>
              <w:rPr>
                <w:rFonts w:ascii="黑体" w:hAnsi="黑体" w:eastAsia="黑体" w:cs="宋体"/>
                <w:kern w:val="0"/>
                <w:sz w:val="20"/>
                <w:szCs w:val="20"/>
              </w:rPr>
            </w:pPr>
            <w:r>
              <w:rPr>
                <w:rFonts w:hint="eastAsia" w:ascii="黑体" w:hAnsi="黑体" w:eastAsia="黑体" w:cs="宋体"/>
                <w:kern w:val="0"/>
                <w:sz w:val="20"/>
                <w:szCs w:val="20"/>
              </w:rPr>
              <w:t xml:space="preserve">增高:急性肝炎、重症肝炎、阻塞性黄疸、肝癌等。 </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Layout w:type="fixed"/>
          <w:tblCellMar>
            <w:top w:w="0" w:type="dxa"/>
            <w:left w:w="108" w:type="dxa"/>
            <w:bottom w:w="0" w:type="dxa"/>
            <w:right w:w="108" w:type="dxa"/>
          </w:tblCellMar>
        </w:tblPrEx>
        <w:trPr>
          <w:trHeight w:val="480" w:hRule="atLeast"/>
        </w:trPr>
        <w:tc>
          <w:tcPr>
            <w:tcW w:w="2461" w:type="dxa"/>
            <w:gridSpan w:val="2"/>
            <w:tcBorders>
              <w:top w:val="single" w:color="auto" w:sz="4" w:space="0"/>
              <w:bottom w:val="single" w:color="auto" w:sz="4" w:space="0"/>
              <w:right w:val="single" w:color="auto" w:sz="4" w:space="0"/>
            </w:tcBorders>
            <w:shd w:val="clear" w:color="auto" w:fill="auto"/>
            <w:vAlign w:val="center"/>
          </w:tcPr>
          <w:p>
            <w:pPr>
              <w:widowControl/>
              <w:jc w:val="left"/>
              <w:rPr>
                <w:rFonts w:ascii="黑体" w:hAnsi="黑体" w:eastAsia="黑体" w:cs="宋体"/>
                <w:kern w:val="0"/>
                <w:sz w:val="20"/>
                <w:szCs w:val="20"/>
              </w:rPr>
            </w:pPr>
            <w:r>
              <w:rPr>
                <w:rFonts w:hint="eastAsia" w:ascii="黑体" w:hAnsi="黑体" w:eastAsia="黑体" w:cs="宋体"/>
                <w:kern w:val="0"/>
                <w:sz w:val="20"/>
                <w:szCs w:val="20"/>
              </w:rPr>
              <w:t>血清天门冬氨酸氨基转移酶测定(AST or GOT)</w:t>
            </w:r>
          </w:p>
        </w:tc>
        <w:tc>
          <w:tcPr>
            <w:tcW w:w="640"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20"/>
                <w:szCs w:val="20"/>
              </w:rPr>
            </w:pPr>
            <w:r>
              <w:rPr>
                <w:rFonts w:hint="eastAsia" w:ascii="黑体" w:hAnsi="黑体" w:eastAsia="黑体" w:cs="宋体"/>
                <w:kern w:val="0"/>
                <w:sz w:val="20"/>
                <w:szCs w:val="20"/>
              </w:rPr>
              <w:t>●</w:t>
            </w:r>
          </w:p>
        </w:tc>
        <w:tc>
          <w:tcPr>
            <w:tcW w:w="640"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20"/>
                <w:szCs w:val="20"/>
              </w:rPr>
            </w:pPr>
            <w:r>
              <w:rPr>
                <w:rFonts w:hint="eastAsia" w:ascii="黑体" w:hAnsi="黑体" w:eastAsia="黑体" w:cs="宋体"/>
                <w:kern w:val="0"/>
                <w:sz w:val="20"/>
                <w:szCs w:val="20"/>
              </w:rPr>
              <w:t>●</w:t>
            </w:r>
          </w:p>
        </w:tc>
        <w:tc>
          <w:tcPr>
            <w:tcW w:w="640"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20"/>
                <w:szCs w:val="20"/>
              </w:rPr>
            </w:pPr>
            <w:r>
              <w:rPr>
                <w:rFonts w:hint="eastAsia" w:ascii="黑体" w:hAnsi="黑体" w:eastAsia="黑体" w:cs="宋体"/>
                <w:kern w:val="0"/>
                <w:sz w:val="20"/>
                <w:szCs w:val="20"/>
              </w:rPr>
              <w:t>●</w:t>
            </w:r>
          </w:p>
        </w:tc>
        <w:tc>
          <w:tcPr>
            <w:tcW w:w="5820" w:type="dxa"/>
            <w:tcBorders>
              <w:top w:val="nil"/>
              <w:left w:val="nil"/>
              <w:bottom w:val="single" w:color="auto" w:sz="4" w:space="0"/>
            </w:tcBorders>
            <w:shd w:val="clear" w:color="auto" w:fill="auto"/>
            <w:vAlign w:val="center"/>
          </w:tcPr>
          <w:p>
            <w:pPr>
              <w:widowControl/>
              <w:jc w:val="left"/>
              <w:rPr>
                <w:rFonts w:ascii="黑体" w:hAnsi="黑体" w:eastAsia="黑体" w:cs="宋体"/>
                <w:kern w:val="0"/>
                <w:sz w:val="20"/>
                <w:szCs w:val="20"/>
              </w:rPr>
            </w:pPr>
            <w:r>
              <w:rPr>
                <w:rFonts w:hint="eastAsia" w:ascii="黑体" w:hAnsi="黑体" w:eastAsia="黑体" w:cs="宋体"/>
                <w:kern w:val="0"/>
                <w:sz w:val="20"/>
                <w:szCs w:val="20"/>
              </w:rPr>
              <w:t>增高：急性心梗、心肌炎、急慢性肝炎、急性胰腺炎等 。</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Layout w:type="fixed"/>
          <w:tblCellMar>
            <w:top w:w="0" w:type="dxa"/>
            <w:left w:w="108" w:type="dxa"/>
            <w:bottom w:w="0" w:type="dxa"/>
            <w:right w:w="108" w:type="dxa"/>
          </w:tblCellMar>
        </w:tblPrEx>
        <w:trPr>
          <w:trHeight w:val="642" w:hRule="atLeast"/>
        </w:trPr>
        <w:tc>
          <w:tcPr>
            <w:tcW w:w="2461" w:type="dxa"/>
            <w:gridSpan w:val="2"/>
            <w:tcBorders>
              <w:top w:val="single" w:color="auto" w:sz="4" w:space="0"/>
              <w:bottom w:val="single" w:color="auto" w:sz="4" w:space="0"/>
              <w:right w:val="single" w:color="auto" w:sz="4" w:space="0"/>
            </w:tcBorders>
            <w:shd w:val="clear" w:color="auto" w:fill="auto"/>
            <w:vAlign w:val="center"/>
          </w:tcPr>
          <w:p>
            <w:pPr>
              <w:widowControl/>
              <w:jc w:val="left"/>
              <w:rPr>
                <w:rFonts w:ascii="黑体" w:hAnsi="黑体" w:eastAsia="黑体" w:cs="宋体"/>
                <w:kern w:val="0"/>
                <w:sz w:val="20"/>
                <w:szCs w:val="20"/>
              </w:rPr>
            </w:pPr>
            <w:r>
              <w:rPr>
                <w:rFonts w:hint="eastAsia" w:ascii="黑体" w:hAnsi="黑体" w:eastAsia="黑体" w:cs="宋体"/>
                <w:kern w:val="0"/>
                <w:sz w:val="20"/>
                <w:szCs w:val="20"/>
              </w:rPr>
              <w:t xml:space="preserve">血清总蛋白测定(TP) </w:t>
            </w:r>
          </w:p>
        </w:tc>
        <w:tc>
          <w:tcPr>
            <w:tcW w:w="640"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20"/>
                <w:szCs w:val="20"/>
              </w:rPr>
            </w:pPr>
            <w:r>
              <w:rPr>
                <w:rFonts w:hint="eastAsia" w:ascii="黑体" w:hAnsi="黑体" w:eastAsia="黑体" w:cs="宋体"/>
                <w:kern w:val="0"/>
                <w:sz w:val="20"/>
                <w:szCs w:val="20"/>
              </w:rPr>
              <w:t>●</w:t>
            </w:r>
          </w:p>
        </w:tc>
        <w:tc>
          <w:tcPr>
            <w:tcW w:w="640"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20"/>
                <w:szCs w:val="20"/>
              </w:rPr>
            </w:pPr>
            <w:r>
              <w:rPr>
                <w:rFonts w:hint="eastAsia" w:ascii="黑体" w:hAnsi="黑体" w:eastAsia="黑体" w:cs="宋体"/>
                <w:kern w:val="0"/>
                <w:sz w:val="20"/>
                <w:szCs w:val="20"/>
              </w:rPr>
              <w:t>●</w:t>
            </w:r>
          </w:p>
        </w:tc>
        <w:tc>
          <w:tcPr>
            <w:tcW w:w="640"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20"/>
                <w:szCs w:val="20"/>
              </w:rPr>
            </w:pPr>
            <w:r>
              <w:rPr>
                <w:rFonts w:hint="eastAsia" w:ascii="黑体" w:hAnsi="黑体" w:eastAsia="黑体" w:cs="宋体"/>
                <w:kern w:val="0"/>
                <w:sz w:val="20"/>
                <w:szCs w:val="20"/>
              </w:rPr>
              <w:t>●</w:t>
            </w:r>
          </w:p>
        </w:tc>
        <w:tc>
          <w:tcPr>
            <w:tcW w:w="5820" w:type="dxa"/>
            <w:tcBorders>
              <w:top w:val="nil"/>
              <w:left w:val="nil"/>
              <w:bottom w:val="single" w:color="auto" w:sz="4" w:space="0"/>
            </w:tcBorders>
            <w:shd w:val="clear" w:color="auto" w:fill="auto"/>
            <w:vAlign w:val="center"/>
          </w:tcPr>
          <w:p>
            <w:pPr>
              <w:widowControl/>
              <w:jc w:val="left"/>
              <w:rPr>
                <w:rFonts w:ascii="黑体" w:hAnsi="黑体" w:eastAsia="黑体" w:cs="宋体"/>
                <w:kern w:val="0"/>
                <w:sz w:val="20"/>
                <w:szCs w:val="20"/>
              </w:rPr>
            </w:pPr>
            <w:r>
              <w:rPr>
                <w:rFonts w:hint="eastAsia" w:ascii="黑体" w:hAnsi="黑体" w:eastAsia="黑体" w:cs="宋体"/>
                <w:kern w:val="0"/>
                <w:sz w:val="20"/>
                <w:szCs w:val="20"/>
              </w:rPr>
              <w:t>增高：高度失水、多发性骨髓瘤 ；                              降低：恶性肿瘤、重症结核、营养不良及肝硬化等 。</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Layout w:type="fixed"/>
          <w:tblCellMar>
            <w:top w:w="0" w:type="dxa"/>
            <w:left w:w="108" w:type="dxa"/>
            <w:bottom w:w="0" w:type="dxa"/>
            <w:right w:w="108" w:type="dxa"/>
          </w:tblCellMar>
        </w:tblPrEx>
        <w:trPr>
          <w:trHeight w:val="720" w:hRule="atLeast"/>
        </w:trPr>
        <w:tc>
          <w:tcPr>
            <w:tcW w:w="2461" w:type="dxa"/>
            <w:gridSpan w:val="2"/>
            <w:tcBorders>
              <w:top w:val="single" w:color="auto" w:sz="4" w:space="0"/>
              <w:bottom w:val="single" w:color="auto" w:sz="4" w:space="0"/>
              <w:right w:val="single" w:color="auto" w:sz="4" w:space="0"/>
            </w:tcBorders>
            <w:shd w:val="clear" w:color="auto" w:fill="auto"/>
            <w:vAlign w:val="center"/>
          </w:tcPr>
          <w:p>
            <w:pPr>
              <w:widowControl/>
              <w:jc w:val="left"/>
              <w:rPr>
                <w:rFonts w:ascii="黑体" w:hAnsi="黑体" w:eastAsia="黑体" w:cs="宋体"/>
                <w:kern w:val="0"/>
                <w:sz w:val="20"/>
                <w:szCs w:val="20"/>
              </w:rPr>
            </w:pPr>
            <w:r>
              <w:rPr>
                <w:rFonts w:hint="eastAsia" w:ascii="黑体" w:hAnsi="黑体" w:eastAsia="黑体" w:cs="宋体"/>
                <w:kern w:val="0"/>
                <w:sz w:val="20"/>
                <w:szCs w:val="20"/>
              </w:rPr>
              <w:t>血清白蛋白测定(ALB)</w:t>
            </w:r>
          </w:p>
        </w:tc>
        <w:tc>
          <w:tcPr>
            <w:tcW w:w="640"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20"/>
                <w:szCs w:val="20"/>
              </w:rPr>
            </w:pPr>
            <w:r>
              <w:rPr>
                <w:rFonts w:hint="eastAsia" w:ascii="黑体" w:hAnsi="黑体" w:eastAsia="黑体" w:cs="宋体"/>
                <w:kern w:val="0"/>
                <w:sz w:val="20"/>
                <w:szCs w:val="20"/>
              </w:rPr>
              <w:t>●</w:t>
            </w:r>
          </w:p>
        </w:tc>
        <w:tc>
          <w:tcPr>
            <w:tcW w:w="640"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20"/>
                <w:szCs w:val="20"/>
              </w:rPr>
            </w:pPr>
            <w:r>
              <w:rPr>
                <w:rFonts w:hint="eastAsia" w:ascii="黑体" w:hAnsi="黑体" w:eastAsia="黑体" w:cs="宋体"/>
                <w:kern w:val="0"/>
                <w:sz w:val="20"/>
                <w:szCs w:val="20"/>
              </w:rPr>
              <w:t>●</w:t>
            </w:r>
          </w:p>
        </w:tc>
        <w:tc>
          <w:tcPr>
            <w:tcW w:w="640"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20"/>
                <w:szCs w:val="20"/>
              </w:rPr>
            </w:pPr>
            <w:r>
              <w:rPr>
                <w:rFonts w:hint="eastAsia" w:ascii="黑体" w:hAnsi="黑体" w:eastAsia="黑体" w:cs="宋体"/>
                <w:kern w:val="0"/>
                <w:sz w:val="20"/>
                <w:szCs w:val="20"/>
              </w:rPr>
              <w:t>●</w:t>
            </w:r>
          </w:p>
        </w:tc>
        <w:tc>
          <w:tcPr>
            <w:tcW w:w="5820" w:type="dxa"/>
            <w:tcBorders>
              <w:top w:val="nil"/>
              <w:left w:val="nil"/>
              <w:bottom w:val="single" w:color="auto" w:sz="4" w:space="0"/>
            </w:tcBorders>
            <w:shd w:val="clear" w:color="auto" w:fill="auto"/>
            <w:vAlign w:val="center"/>
          </w:tcPr>
          <w:p>
            <w:pPr>
              <w:widowControl/>
              <w:jc w:val="left"/>
              <w:rPr>
                <w:rFonts w:ascii="黑体" w:hAnsi="黑体" w:eastAsia="黑体" w:cs="宋体"/>
                <w:kern w:val="0"/>
                <w:sz w:val="20"/>
                <w:szCs w:val="20"/>
              </w:rPr>
            </w:pPr>
            <w:r>
              <w:rPr>
                <w:rFonts w:hint="eastAsia" w:ascii="黑体" w:hAnsi="黑体" w:eastAsia="黑体" w:cs="宋体"/>
                <w:kern w:val="0"/>
                <w:sz w:val="20"/>
                <w:szCs w:val="20"/>
              </w:rPr>
              <w:t>临床上还没有发现白蛋白单纯升高的疾病；降低：恶性肿瘤、重症结核、肝硬化、肾病综合症等。</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Layout w:type="fixed"/>
          <w:tblCellMar>
            <w:top w:w="0" w:type="dxa"/>
            <w:left w:w="108" w:type="dxa"/>
            <w:bottom w:w="0" w:type="dxa"/>
            <w:right w:w="108" w:type="dxa"/>
          </w:tblCellMar>
        </w:tblPrEx>
        <w:trPr>
          <w:trHeight w:val="559" w:hRule="atLeast"/>
        </w:trPr>
        <w:tc>
          <w:tcPr>
            <w:tcW w:w="2461" w:type="dxa"/>
            <w:gridSpan w:val="2"/>
            <w:tcBorders>
              <w:top w:val="single" w:color="auto" w:sz="4" w:space="0"/>
              <w:bottom w:val="single" w:color="auto" w:sz="4" w:space="0"/>
              <w:right w:val="single" w:color="auto" w:sz="4" w:space="0"/>
            </w:tcBorders>
            <w:shd w:val="clear" w:color="auto" w:fill="auto"/>
            <w:vAlign w:val="center"/>
          </w:tcPr>
          <w:p>
            <w:pPr>
              <w:widowControl/>
              <w:jc w:val="left"/>
              <w:rPr>
                <w:rFonts w:ascii="黑体" w:hAnsi="黑体" w:eastAsia="黑体" w:cs="宋体"/>
                <w:kern w:val="0"/>
                <w:sz w:val="20"/>
                <w:szCs w:val="20"/>
              </w:rPr>
            </w:pPr>
            <w:r>
              <w:rPr>
                <w:rFonts w:hint="eastAsia" w:ascii="黑体" w:hAnsi="黑体" w:eastAsia="黑体" w:cs="宋体"/>
                <w:kern w:val="0"/>
                <w:sz w:val="20"/>
                <w:szCs w:val="20"/>
              </w:rPr>
              <w:t>血清球蛋白测定(GLOB)                     &lt;总蛋白、白蛋白必选&gt;</w:t>
            </w:r>
          </w:p>
        </w:tc>
        <w:tc>
          <w:tcPr>
            <w:tcW w:w="640"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20"/>
                <w:szCs w:val="20"/>
              </w:rPr>
            </w:pPr>
            <w:r>
              <w:rPr>
                <w:rFonts w:hint="eastAsia" w:ascii="黑体" w:hAnsi="黑体" w:eastAsia="黑体" w:cs="宋体"/>
                <w:kern w:val="0"/>
                <w:sz w:val="20"/>
                <w:szCs w:val="20"/>
              </w:rPr>
              <w:t>●</w:t>
            </w:r>
          </w:p>
        </w:tc>
        <w:tc>
          <w:tcPr>
            <w:tcW w:w="640"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20"/>
                <w:szCs w:val="20"/>
              </w:rPr>
            </w:pPr>
            <w:r>
              <w:rPr>
                <w:rFonts w:hint="eastAsia" w:ascii="黑体" w:hAnsi="黑体" w:eastAsia="黑体" w:cs="宋体"/>
                <w:kern w:val="0"/>
                <w:sz w:val="20"/>
                <w:szCs w:val="20"/>
              </w:rPr>
              <w:t>●</w:t>
            </w:r>
          </w:p>
        </w:tc>
        <w:tc>
          <w:tcPr>
            <w:tcW w:w="640"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20"/>
                <w:szCs w:val="20"/>
              </w:rPr>
            </w:pPr>
            <w:r>
              <w:rPr>
                <w:rFonts w:hint="eastAsia" w:ascii="黑体" w:hAnsi="黑体" w:eastAsia="黑体" w:cs="宋体"/>
                <w:kern w:val="0"/>
                <w:sz w:val="20"/>
                <w:szCs w:val="20"/>
              </w:rPr>
              <w:t>●</w:t>
            </w:r>
          </w:p>
        </w:tc>
        <w:tc>
          <w:tcPr>
            <w:tcW w:w="5820" w:type="dxa"/>
            <w:tcBorders>
              <w:top w:val="nil"/>
              <w:left w:val="nil"/>
              <w:bottom w:val="single" w:color="auto" w:sz="4" w:space="0"/>
            </w:tcBorders>
            <w:shd w:val="clear" w:color="auto" w:fill="auto"/>
            <w:vAlign w:val="center"/>
          </w:tcPr>
          <w:p>
            <w:pPr>
              <w:widowControl/>
              <w:jc w:val="left"/>
              <w:rPr>
                <w:rFonts w:ascii="黑体" w:hAnsi="黑体" w:eastAsia="黑体" w:cs="宋体"/>
                <w:kern w:val="0"/>
                <w:sz w:val="20"/>
                <w:szCs w:val="20"/>
              </w:rPr>
            </w:pPr>
            <w:r>
              <w:rPr>
                <w:rFonts w:hint="eastAsia" w:ascii="黑体" w:hAnsi="黑体" w:eastAsia="黑体" w:cs="宋体"/>
                <w:kern w:val="0"/>
                <w:sz w:val="20"/>
                <w:szCs w:val="20"/>
              </w:rPr>
              <w:t xml:space="preserve">增高：肝硬化、结核、某些皮肤疾病;  </w:t>
            </w:r>
            <w:r>
              <w:rPr>
                <w:rFonts w:hint="eastAsia" w:ascii="黑体" w:hAnsi="黑体" w:eastAsia="黑体" w:cs="宋体"/>
                <w:kern w:val="0"/>
                <w:sz w:val="20"/>
                <w:szCs w:val="20"/>
              </w:rPr>
              <w:br w:type="textWrapping"/>
            </w:r>
            <w:r>
              <w:rPr>
                <w:rFonts w:hint="eastAsia" w:ascii="黑体" w:hAnsi="黑体" w:eastAsia="黑体" w:cs="宋体"/>
                <w:kern w:val="0"/>
                <w:sz w:val="20"/>
                <w:szCs w:val="20"/>
              </w:rPr>
              <w:t>降低：引起体内球蛋白降低的疾病（少见）。</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Layout w:type="fixed"/>
        </w:tblPrEx>
        <w:trPr>
          <w:trHeight w:val="739" w:hRule="atLeast"/>
        </w:trPr>
        <w:tc>
          <w:tcPr>
            <w:tcW w:w="2461" w:type="dxa"/>
            <w:gridSpan w:val="2"/>
            <w:tcBorders>
              <w:top w:val="single" w:color="auto" w:sz="4" w:space="0"/>
              <w:bottom w:val="single" w:color="auto" w:sz="4" w:space="0"/>
              <w:right w:val="single" w:color="auto" w:sz="4" w:space="0"/>
            </w:tcBorders>
            <w:shd w:val="clear" w:color="auto" w:fill="auto"/>
            <w:vAlign w:val="center"/>
          </w:tcPr>
          <w:p>
            <w:pPr>
              <w:widowControl/>
              <w:jc w:val="left"/>
              <w:rPr>
                <w:rFonts w:ascii="黑体" w:hAnsi="黑体" w:eastAsia="黑体" w:cs="宋体"/>
                <w:kern w:val="0"/>
                <w:sz w:val="20"/>
                <w:szCs w:val="20"/>
              </w:rPr>
            </w:pPr>
            <w:r>
              <w:rPr>
                <w:rFonts w:hint="eastAsia" w:ascii="黑体" w:hAnsi="黑体" w:eastAsia="黑体" w:cs="宋体"/>
                <w:kern w:val="0"/>
                <w:sz w:val="20"/>
                <w:szCs w:val="20"/>
              </w:rPr>
              <w:t>血清白球比（A/G）                        &lt;总蛋白、白蛋白必选&gt;</w:t>
            </w:r>
          </w:p>
        </w:tc>
        <w:tc>
          <w:tcPr>
            <w:tcW w:w="640"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20"/>
                <w:szCs w:val="20"/>
              </w:rPr>
            </w:pPr>
            <w:r>
              <w:rPr>
                <w:rFonts w:hint="eastAsia" w:ascii="黑体" w:hAnsi="黑体" w:eastAsia="黑体" w:cs="宋体"/>
                <w:kern w:val="0"/>
                <w:sz w:val="20"/>
                <w:szCs w:val="20"/>
              </w:rPr>
              <w:t>●</w:t>
            </w:r>
          </w:p>
        </w:tc>
        <w:tc>
          <w:tcPr>
            <w:tcW w:w="640"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20"/>
                <w:szCs w:val="20"/>
              </w:rPr>
            </w:pPr>
            <w:r>
              <w:rPr>
                <w:rFonts w:hint="eastAsia" w:ascii="黑体" w:hAnsi="黑体" w:eastAsia="黑体" w:cs="宋体"/>
                <w:kern w:val="0"/>
                <w:sz w:val="20"/>
                <w:szCs w:val="20"/>
              </w:rPr>
              <w:t>●</w:t>
            </w:r>
          </w:p>
        </w:tc>
        <w:tc>
          <w:tcPr>
            <w:tcW w:w="640"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20"/>
                <w:szCs w:val="20"/>
              </w:rPr>
            </w:pPr>
            <w:r>
              <w:rPr>
                <w:rFonts w:hint="eastAsia" w:ascii="黑体" w:hAnsi="黑体" w:eastAsia="黑体" w:cs="宋体"/>
                <w:kern w:val="0"/>
                <w:sz w:val="20"/>
                <w:szCs w:val="20"/>
              </w:rPr>
              <w:t>●</w:t>
            </w:r>
          </w:p>
        </w:tc>
        <w:tc>
          <w:tcPr>
            <w:tcW w:w="5820" w:type="dxa"/>
            <w:tcBorders>
              <w:top w:val="nil"/>
              <w:left w:val="nil"/>
              <w:bottom w:val="single" w:color="auto" w:sz="4" w:space="0"/>
            </w:tcBorders>
            <w:shd w:val="clear" w:color="auto" w:fill="auto"/>
            <w:vAlign w:val="center"/>
          </w:tcPr>
          <w:p>
            <w:pPr>
              <w:widowControl/>
              <w:jc w:val="left"/>
              <w:rPr>
                <w:rFonts w:ascii="黑体" w:hAnsi="黑体" w:eastAsia="黑体" w:cs="宋体"/>
                <w:kern w:val="0"/>
                <w:sz w:val="20"/>
                <w:szCs w:val="20"/>
              </w:rPr>
            </w:pPr>
            <w:r>
              <w:rPr>
                <w:rFonts w:hint="eastAsia" w:ascii="黑体" w:hAnsi="黑体" w:eastAsia="黑体" w:cs="宋体"/>
                <w:kern w:val="0"/>
                <w:sz w:val="20"/>
                <w:szCs w:val="20"/>
              </w:rPr>
              <w:t>比例倒置：肝硬化、肾病综合症、慢性肝炎等。</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Layout w:type="fixed"/>
          <w:tblCellMar>
            <w:top w:w="0" w:type="dxa"/>
            <w:left w:w="108" w:type="dxa"/>
            <w:bottom w:w="0" w:type="dxa"/>
            <w:right w:w="108" w:type="dxa"/>
          </w:tblCellMar>
        </w:tblPrEx>
        <w:trPr>
          <w:trHeight w:val="540" w:hRule="atLeast"/>
        </w:trPr>
        <w:tc>
          <w:tcPr>
            <w:tcW w:w="2461" w:type="dxa"/>
            <w:gridSpan w:val="2"/>
            <w:tcBorders>
              <w:top w:val="single" w:color="auto" w:sz="4" w:space="0"/>
              <w:bottom w:val="single" w:color="auto" w:sz="4" w:space="0"/>
              <w:right w:val="single" w:color="auto" w:sz="4" w:space="0"/>
            </w:tcBorders>
            <w:shd w:val="clear" w:color="auto" w:fill="auto"/>
            <w:vAlign w:val="center"/>
          </w:tcPr>
          <w:p>
            <w:pPr>
              <w:widowControl/>
              <w:jc w:val="left"/>
              <w:rPr>
                <w:rFonts w:ascii="黑体" w:hAnsi="黑体" w:eastAsia="黑体" w:cs="宋体"/>
                <w:kern w:val="0"/>
                <w:sz w:val="20"/>
                <w:szCs w:val="20"/>
              </w:rPr>
            </w:pPr>
            <w:r>
              <w:rPr>
                <w:rFonts w:hint="eastAsia" w:ascii="黑体" w:hAnsi="黑体" w:eastAsia="黑体" w:cs="宋体"/>
                <w:kern w:val="0"/>
                <w:sz w:val="20"/>
                <w:szCs w:val="20"/>
              </w:rPr>
              <w:t>血清总胆红素测定(TBIL)</w:t>
            </w:r>
          </w:p>
        </w:tc>
        <w:tc>
          <w:tcPr>
            <w:tcW w:w="640"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20"/>
                <w:szCs w:val="20"/>
              </w:rPr>
            </w:pPr>
            <w:r>
              <w:rPr>
                <w:rFonts w:hint="eastAsia" w:ascii="黑体" w:hAnsi="黑体" w:eastAsia="黑体" w:cs="宋体"/>
                <w:kern w:val="0"/>
                <w:sz w:val="20"/>
                <w:szCs w:val="20"/>
              </w:rPr>
              <w:t>●</w:t>
            </w:r>
          </w:p>
        </w:tc>
        <w:tc>
          <w:tcPr>
            <w:tcW w:w="640"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20"/>
                <w:szCs w:val="20"/>
              </w:rPr>
            </w:pPr>
            <w:r>
              <w:rPr>
                <w:rFonts w:hint="eastAsia" w:ascii="黑体" w:hAnsi="黑体" w:eastAsia="黑体" w:cs="宋体"/>
                <w:kern w:val="0"/>
                <w:sz w:val="20"/>
                <w:szCs w:val="20"/>
              </w:rPr>
              <w:t>●</w:t>
            </w:r>
          </w:p>
        </w:tc>
        <w:tc>
          <w:tcPr>
            <w:tcW w:w="640"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20"/>
                <w:szCs w:val="20"/>
              </w:rPr>
            </w:pPr>
            <w:r>
              <w:rPr>
                <w:rFonts w:hint="eastAsia" w:ascii="黑体" w:hAnsi="黑体" w:eastAsia="黑体" w:cs="宋体"/>
                <w:kern w:val="0"/>
                <w:sz w:val="20"/>
                <w:szCs w:val="20"/>
              </w:rPr>
              <w:t>●</w:t>
            </w:r>
          </w:p>
        </w:tc>
        <w:tc>
          <w:tcPr>
            <w:tcW w:w="5820" w:type="dxa"/>
            <w:vMerge w:val="restart"/>
            <w:tcBorders>
              <w:top w:val="nil"/>
              <w:left w:val="single" w:color="auto" w:sz="4" w:space="0"/>
              <w:bottom w:val="single" w:color="auto" w:sz="4" w:space="0"/>
            </w:tcBorders>
            <w:shd w:val="clear" w:color="auto" w:fill="auto"/>
            <w:vAlign w:val="center"/>
          </w:tcPr>
          <w:p>
            <w:pPr>
              <w:widowControl/>
              <w:jc w:val="left"/>
              <w:rPr>
                <w:rFonts w:ascii="黑体" w:hAnsi="黑体" w:eastAsia="黑体" w:cs="宋体"/>
                <w:kern w:val="0"/>
                <w:sz w:val="20"/>
                <w:szCs w:val="20"/>
              </w:rPr>
            </w:pPr>
            <w:r>
              <w:rPr>
                <w:rFonts w:hint="eastAsia" w:ascii="黑体" w:hAnsi="黑体" w:eastAsia="黑体" w:cs="宋体"/>
                <w:kern w:val="0"/>
                <w:sz w:val="20"/>
                <w:szCs w:val="20"/>
              </w:rPr>
              <w:t>溶血性黄疸:总胆红素升高,间接胆红素高度增加、直接胆红素正常或微增；</w:t>
            </w:r>
            <w:r>
              <w:rPr>
                <w:rFonts w:hint="eastAsia" w:ascii="黑体" w:hAnsi="黑体" w:eastAsia="黑体" w:cs="宋体"/>
                <w:kern w:val="0"/>
                <w:sz w:val="20"/>
                <w:szCs w:val="20"/>
              </w:rPr>
              <w:br w:type="textWrapping"/>
            </w:r>
            <w:r>
              <w:rPr>
                <w:rFonts w:hint="eastAsia" w:ascii="黑体" w:hAnsi="黑体" w:eastAsia="黑体" w:cs="宋体"/>
                <w:kern w:val="0"/>
                <w:sz w:val="20"/>
                <w:szCs w:val="20"/>
              </w:rPr>
              <w:t>肝细胞性黄疸：三者均升高；                                阻塞性黄疸：总胆红素升高，直接胆红素高度增加，间接胆红素正常或微增。</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Layout w:type="fixed"/>
          <w:tblCellMar>
            <w:top w:w="0" w:type="dxa"/>
            <w:left w:w="108" w:type="dxa"/>
            <w:bottom w:w="0" w:type="dxa"/>
            <w:right w:w="108" w:type="dxa"/>
          </w:tblCellMar>
        </w:tblPrEx>
        <w:trPr>
          <w:trHeight w:val="780" w:hRule="atLeast"/>
        </w:trPr>
        <w:tc>
          <w:tcPr>
            <w:tcW w:w="2461" w:type="dxa"/>
            <w:gridSpan w:val="2"/>
            <w:tcBorders>
              <w:top w:val="single" w:color="auto" w:sz="4" w:space="0"/>
              <w:bottom w:val="single" w:color="auto" w:sz="4" w:space="0"/>
              <w:right w:val="single" w:color="auto" w:sz="4" w:space="0"/>
            </w:tcBorders>
            <w:shd w:val="clear" w:color="auto" w:fill="auto"/>
            <w:vAlign w:val="center"/>
          </w:tcPr>
          <w:p>
            <w:pPr>
              <w:widowControl/>
              <w:jc w:val="left"/>
              <w:rPr>
                <w:rFonts w:ascii="黑体" w:hAnsi="黑体" w:eastAsia="黑体" w:cs="宋体"/>
                <w:kern w:val="0"/>
                <w:sz w:val="20"/>
                <w:szCs w:val="20"/>
              </w:rPr>
            </w:pPr>
            <w:r>
              <w:rPr>
                <w:rFonts w:hint="eastAsia" w:ascii="黑体" w:hAnsi="黑体" w:eastAsia="黑体" w:cs="宋体"/>
                <w:kern w:val="0"/>
                <w:sz w:val="20"/>
                <w:szCs w:val="20"/>
              </w:rPr>
              <w:t>血清直接胆红素测定(DBIL)</w:t>
            </w:r>
          </w:p>
        </w:tc>
        <w:tc>
          <w:tcPr>
            <w:tcW w:w="640"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20"/>
                <w:szCs w:val="20"/>
              </w:rPr>
            </w:pPr>
            <w:r>
              <w:rPr>
                <w:rFonts w:hint="eastAsia" w:ascii="黑体" w:hAnsi="黑体" w:eastAsia="黑体" w:cs="宋体"/>
                <w:kern w:val="0"/>
                <w:sz w:val="20"/>
                <w:szCs w:val="20"/>
              </w:rPr>
              <w:t>●</w:t>
            </w:r>
          </w:p>
        </w:tc>
        <w:tc>
          <w:tcPr>
            <w:tcW w:w="640"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20"/>
                <w:szCs w:val="20"/>
              </w:rPr>
            </w:pPr>
            <w:r>
              <w:rPr>
                <w:rFonts w:hint="eastAsia" w:ascii="黑体" w:hAnsi="黑体" w:eastAsia="黑体" w:cs="宋体"/>
                <w:kern w:val="0"/>
                <w:sz w:val="20"/>
                <w:szCs w:val="20"/>
              </w:rPr>
              <w:t>●</w:t>
            </w:r>
          </w:p>
        </w:tc>
        <w:tc>
          <w:tcPr>
            <w:tcW w:w="640"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20"/>
                <w:szCs w:val="20"/>
              </w:rPr>
            </w:pPr>
            <w:r>
              <w:rPr>
                <w:rFonts w:hint="eastAsia" w:ascii="黑体" w:hAnsi="黑体" w:eastAsia="黑体" w:cs="宋体"/>
                <w:kern w:val="0"/>
                <w:sz w:val="20"/>
                <w:szCs w:val="20"/>
              </w:rPr>
              <w:t>●</w:t>
            </w:r>
          </w:p>
        </w:tc>
        <w:tc>
          <w:tcPr>
            <w:tcW w:w="5820" w:type="dxa"/>
            <w:vMerge w:val="continue"/>
            <w:tcBorders>
              <w:top w:val="nil"/>
              <w:left w:val="single" w:color="auto" w:sz="4" w:space="0"/>
              <w:bottom w:val="single" w:color="auto" w:sz="4" w:space="0"/>
            </w:tcBorders>
            <w:vAlign w:val="center"/>
          </w:tcPr>
          <w:p>
            <w:pPr>
              <w:widowControl/>
              <w:jc w:val="left"/>
              <w:rPr>
                <w:rFonts w:ascii="黑体" w:hAnsi="黑体" w:eastAsia="黑体" w:cs="宋体"/>
                <w:kern w:val="0"/>
                <w:sz w:val="20"/>
                <w:szCs w:val="20"/>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Layout w:type="fixed"/>
          <w:tblCellMar>
            <w:top w:w="0" w:type="dxa"/>
            <w:left w:w="108" w:type="dxa"/>
            <w:bottom w:w="0" w:type="dxa"/>
            <w:right w:w="108" w:type="dxa"/>
          </w:tblCellMar>
        </w:tblPrEx>
        <w:trPr>
          <w:trHeight w:val="660" w:hRule="atLeast"/>
        </w:trPr>
        <w:tc>
          <w:tcPr>
            <w:tcW w:w="2461" w:type="dxa"/>
            <w:gridSpan w:val="2"/>
            <w:tcBorders>
              <w:top w:val="single" w:color="auto" w:sz="4" w:space="0"/>
              <w:bottom w:val="single" w:color="auto" w:sz="4" w:space="0"/>
              <w:right w:val="single" w:color="auto" w:sz="4" w:space="0"/>
            </w:tcBorders>
            <w:shd w:val="clear" w:color="auto" w:fill="auto"/>
            <w:vAlign w:val="center"/>
          </w:tcPr>
          <w:p>
            <w:pPr>
              <w:widowControl/>
              <w:jc w:val="left"/>
              <w:rPr>
                <w:rFonts w:ascii="黑体" w:hAnsi="黑体" w:eastAsia="黑体" w:cs="宋体"/>
                <w:kern w:val="0"/>
                <w:sz w:val="20"/>
                <w:szCs w:val="20"/>
              </w:rPr>
            </w:pPr>
            <w:r>
              <w:rPr>
                <w:rFonts w:hint="eastAsia" w:ascii="黑体" w:hAnsi="黑体" w:eastAsia="黑体" w:cs="宋体"/>
                <w:kern w:val="0"/>
                <w:sz w:val="20"/>
                <w:szCs w:val="20"/>
              </w:rPr>
              <w:t>血清间接胆红素测定(IBIL)                 &lt;总胆红素、直接胆红素必选&gt;</w:t>
            </w:r>
          </w:p>
        </w:tc>
        <w:tc>
          <w:tcPr>
            <w:tcW w:w="640"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20"/>
                <w:szCs w:val="20"/>
              </w:rPr>
            </w:pPr>
            <w:r>
              <w:rPr>
                <w:rFonts w:hint="eastAsia" w:ascii="黑体" w:hAnsi="黑体" w:eastAsia="黑体" w:cs="宋体"/>
                <w:kern w:val="0"/>
                <w:sz w:val="20"/>
                <w:szCs w:val="20"/>
              </w:rPr>
              <w:t>●</w:t>
            </w:r>
          </w:p>
        </w:tc>
        <w:tc>
          <w:tcPr>
            <w:tcW w:w="640"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20"/>
                <w:szCs w:val="20"/>
              </w:rPr>
            </w:pPr>
            <w:r>
              <w:rPr>
                <w:rFonts w:hint="eastAsia" w:ascii="黑体" w:hAnsi="黑体" w:eastAsia="黑体" w:cs="宋体"/>
                <w:kern w:val="0"/>
                <w:sz w:val="20"/>
                <w:szCs w:val="20"/>
              </w:rPr>
              <w:t>●</w:t>
            </w:r>
          </w:p>
        </w:tc>
        <w:tc>
          <w:tcPr>
            <w:tcW w:w="640"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20"/>
                <w:szCs w:val="20"/>
              </w:rPr>
            </w:pPr>
            <w:r>
              <w:rPr>
                <w:rFonts w:hint="eastAsia" w:ascii="黑体" w:hAnsi="黑体" w:eastAsia="黑体" w:cs="宋体"/>
                <w:kern w:val="0"/>
                <w:sz w:val="20"/>
                <w:szCs w:val="20"/>
              </w:rPr>
              <w:t>●</w:t>
            </w:r>
          </w:p>
        </w:tc>
        <w:tc>
          <w:tcPr>
            <w:tcW w:w="5820" w:type="dxa"/>
            <w:vMerge w:val="continue"/>
            <w:tcBorders>
              <w:top w:val="nil"/>
              <w:left w:val="single" w:color="auto" w:sz="4" w:space="0"/>
              <w:bottom w:val="single" w:color="auto" w:sz="4" w:space="0"/>
            </w:tcBorders>
            <w:vAlign w:val="center"/>
          </w:tcPr>
          <w:p>
            <w:pPr>
              <w:widowControl/>
              <w:jc w:val="left"/>
              <w:rPr>
                <w:rFonts w:ascii="黑体" w:hAnsi="黑体" w:eastAsia="黑体" w:cs="宋体"/>
                <w:kern w:val="0"/>
                <w:sz w:val="20"/>
                <w:szCs w:val="20"/>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Layout w:type="fixed"/>
          <w:tblCellMar>
            <w:top w:w="0" w:type="dxa"/>
            <w:left w:w="108" w:type="dxa"/>
            <w:bottom w:w="0" w:type="dxa"/>
            <w:right w:w="108" w:type="dxa"/>
          </w:tblCellMar>
        </w:tblPrEx>
        <w:trPr>
          <w:trHeight w:val="679" w:hRule="atLeast"/>
        </w:trPr>
        <w:tc>
          <w:tcPr>
            <w:tcW w:w="2461" w:type="dxa"/>
            <w:gridSpan w:val="2"/>
            <w:tcBorders>
              <w:top w:val="single" w:color="auto" w:sz="4" w:space="0"/>
              <w:bottom w:val="single" w:color="auto" w:sz="4" w:space="0"/>
              <w:right w:val="single" w:color="auto" w:sz="4" w:space="0"/>
            </w:tcBorders>
            <w:shd w:val="clear" w:color="auto" w:fill="auto"/>
            <w:vAlign w:val="center"/>
          </w:tcPr>
          <w:p>
            <w:pPr>
              <w:widowControl/>
              <w:jc w:val="left"/>
              <w:rPr>
                <w:rFonts w:ascii="黑体" w:hAnsi="黑体" w:eastAsia="黑体" w:cs="宋体"/>
                <w:kern w:val="0"/>
                <w:sz w:val="20"/>
                <w:szCs w:val="20"/>
              </w:rPr>
            </w:pPr>
            <w:r>
              <w:rPr>
                <w:rFonts w:hint="eastAsia" w:ascii="黑体" w:hAnsi="黑体" w:eastAsia="黑体" w:cs="宋体"/>
                <w:kern w:val="0"/>
                <w:sz w:val="20"/>
                <w:szCs w:val="20"/>
              </w:rPr>
              <w:t>血清γ-谷氨酰基转移酶测定(GGT)</w:t>
            </w:r>
          </w:p>
        </w:tc>
        <w:tc>
          <w:tcPr>
            <w:tcW w:w="640"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20"/>
                <w:szCs w:val="20"/>
              </w:rPr>
            </w:pPr>
            <w:r>
              <w:rPr>
                <w:rFonts w:hint="eastAsia" w:ascii="黑体" w:hAnsi="黑体" w:eastAsia="黑体" w:cs="宋体"/>
                <w:kern w:val="0"/>
                <w:sz w:val="20"/>
                <w:szCs w:val="20"/>
              </w:rPr>
              <w:t>●</w:t>
            </w:r>
          </w:p>
        </w:tc>
        <w:tc>
          <w:tcPr>
            <w:tcW w:w="640"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20"/>
                <w:szCs w:val="20"/>
              </w:rPr>
            </w:pPr>
            <w:r>
              <w:rPr>
                <w:rFonts w:hint="eastAsia" w:ascii="黑体" w:hAnsi="黑体" w:eastAsia="黑体" w:cs="宋体"/>
                <w:kern w:val="0"/>
                <w:sz w:val="20"/>
                <w:szCs w:val="20"/>
              </w:rPr>
              <w:t>●</w:t>
            </w:r>
          </w:p>
        </w:tc>
        <w:tc>
          <w:tcPr>
            <w:tcW w:w="640"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20"/>
                <w:szCs w:val="20"/>
              </w:rPr>
            </w:pPr>
            <w:r>
              <w:rPr>
                <w:rFonts w:hint="eastAsia" w:ascii="黑体" w:hAnsi="黑体" w:eastAsia="黑体" w:cs="宋体"/>
                <w:kern w:val="0"/>
                <w:sz w:val="20"/>
                <w:szCs w:val="20"/>
              </w:rPr>
              <w:t>●</w:t>
            </w:r>
          </w:p>
        </w:tc>
        <w:tc>
          <w:tcPr>
            <w:tcW w:w="5820" w:type="dxa"/>
            <w:tcBorders>
              <w:top w:val="nil"/>
              <w:left w:val="nil"/>
              <w:bottom w:val="single" w:color="auto" w:sz="4" w:space="0"/>
            </w:tcBorders>
            <w:shd w:val="clear" w:color="auto" w:fill="auto"/>
            <w:vAlign w:val="center"/>
          </w:tcPr>
          <w:p>
            <w:pPr>
              <w:widowControl/>
              <w:jc w:val="left"/>
              <w:rPr>
                <w:rFonts w:ascii="黑体" w:hAnsi="黑体" w:eastAsia="黑体" w:cs="宋体"/>
                <w:kern w:val="0"/>
                <w:sz w:val="20"/>
                <w:szCs w:val="20"/>
              </w:rPr>
            </w:pPr>
            <w:r>
              <w:rPr>
                <w:rFonts w:hint="eastAsia" w:ascii="黑体" w:hAnsi="黑体" w:eastAsia="黑体" w:cs="宋体"/>
                <w:kern w:val="0"/>
                <w:sz w:val="20"/>
                <w:szCs w:val="20"/>
              </w:rPr>
              <w:t>增高：原发性和转移性肝癌、阻塞性黄疸、急性心梗等。</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Layout w:type="fixed"/>
          <w:tblCellMar>
            <w:top w:w="0" w:type="dxa"/>
            <w:left w:w="108" w:type="dxa"/>
            <w:bottom w:w="0" w:type="dxa"/>
            <w:right w:w="108" w:type="dxa"/>
          </w:tblCellMar>
        </w:tblPrEx>
        <w:trPr>
          <w:trHeight w:val="720" w:hRule="atLeast"/>
        </w:trPr>
        <w:tc>
          <w:tcPr>
            <w:tcW w:w="2461" w:type="dxa"/>
            <w:gridSpan w:val="2"/>
            <w:tcBorders>
              <w:top w:val="single" w:color="auto" w:sz="4" w:space="0"/>
              <w:bottom w:val="single" w:color="auto" w:sz="4" w:space="0"/>
              <w:right w:val="single" w:color="auto" w:sz="4" w:space="0"/>
            </w:tcBorders>
            <w:shd w:val="clear" w:color="auto" w:fill="auto"/>
            <w:vAlign w:val="center"/>
          </w:tcPr>
          <w:p>
            <w:pPr>
              <w:widowControl/>
              <w:jc w:val="left"/>
              <w:rPr>
                <w:rFonts w:ascii="黑体" w:hAnsi="黑体" w:eastAsia="黑体" w:cs="宋体"/>
                <w:kern w:val="0"/>
                <w:sz w:val="20"/>
                <w:szCs w:val="20"/>
              </w:rPr>
            </w:pPr>
            <w:r>
              <w:rPr>
                <w:rFonts w:hint="eastAsia" w:ascii="黑体" w:hAnsi="黑体" w:eastAsia="黑体" w:cs="宋体"/>
                <w:kern w:val="0"/>
                <w:sz w:val="20"/>
                <w:szCs w:val="20"/>
              </w:rPr>
              <w:t>血清碱性磷酸酶测定(ALP)</w:t>
            </w:r>
          </w:p>
        </w:tc>
        <w:tc>
          <w:tcPr>
            <w:tcW w:w="640"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20"/>
                <w:szCs w:val="20"/>
              </w:rPr>
            </w:pPr>
            <w:r>
              <w:rPr>
                <w:rFonts w:hint="eastAsia" w:ascii="黑体" w:hAnsi="黑体" w:eastAsia="黑体" w:cs="宋体"/>
                <w:kern w:val="0"/>
                <w:sz w:val="20"/>
                <w:szCs w:val="20"/>
              </w:rPr>
              <w:t>●</w:t>
            </w:r>
          </w:p>
        </w:tc>
        <w:tc>
          <w:tcPr>
            <w:tcW w:w="640"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20"/>
                <w:szCs w:val="20"/>
              </w:rPr>
            </w:pPr>
            <w:r>
              <w:rPr>
                <w:rFonts w:hint="eastAsia" w:ascii="黑体" w:hAnsi="黑体" w:eastAsia="黑体" w:cs="宋体"/>
                <w:kern w:val="0"/>
                <w:sz w:val="20"/>
                <w:szCs w:val="20"/>
              </w:rPr>
              <w:t>●</w:t>
            </w:r>
          </w:p>
        </w:tc>
        <w:tc>
          <w:tcPr>
            <w:tcW w:w="640"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20"/>
                <w:szCs w:val="20"/>
              </w:rPr>
            </w:pPr>
            <w:r>
              <w:rPr>
                <w:rFonts w:hint="eastAsia" w:ascii="黑体" w:hAnsi="黑体" w:eastAsia="黑体" w:cs="宋体"/>
                <w:kern w:val="0"/>
                <w:sz w:val="20"/>
                <w:szCs w:val="20"/>
              </w:rPr>
              <w:t>●</w:t>
            </w:r>
          </w:p>
        </w:tc>
        <w:tc>
          <w:tcPr>
            <w:tcW w:w="5820" w:type="dxa"/>
            <w:tcBorders>
              <w:top w:val="nil"/>
              <w:left w:val="nil"/>
              <w:bottom w:val="single" w:color="auto" w:sz="4" w:space="0"/>
            </w:tcBorders>
            <w:shd w:val="clear" w:color="auto" w:fill="auto"/>
            <w:vAlign w:val="center"/>
          </w:tcPr>
          <w:p>
            <w:pPr>
              <w:widowControl/>
              <w:jc w:val="left"/>
              <w:rPr>
                <w:rFonts w:ascii="黑体" w:hAnsi="黑体" w:eastAsia="黑体" w:cs="宋体"/>
                <w:kern w:val="0"/>
                <w:sz w:val="20"/>
                <w:szCs w:val="20"/>
              </w:rPr>
            </w:pPr>
            <w:r>
              <w:rPr>
                <w:rFonts w:hint="eastAsia" w:ascii="黑体" w:hAnsi="黑体" w:eastAsia="黑体" w:cs="宋体"/>
                <w:kern w:val="0"/>
                <w:sz w:val="20"/>
                <w:szCs w:val="20"/>
              </w:rPr>
              <w:t>增高：阴塞性黄疸、肝癌、肝炎、肾病、骨骼疾病。</w:t>
            </w:r>
            <w:r>
              <w:rPr>
                <w:rFonts w:hint="eastAsia" w:ascii="黑体" w:hAnsi="黑体" w:eastAsia="黑体" w:cs="宋体"/>
                <w:kern w:val="0"/>
                <w:sz w:val="20"/>
                <w:szCs w:val="20"/>
              </w:rPr>
              <w:br w:type="textWrapping"/>
            </w:r>
            <w:r>
              <w:rPr>
                <w:rFonts w:hint="eastAsia" w:ascii="黑体" w:hAnsi="黑体" w:eastAsia="黑体" w:cs="宋体"/>
                <w:kern w:val="0"/>
                <w:sz w:val="20"/>
                <w:szCs w:val="20"/>
              </w:rPr>
              <w:t>下降：VitD过多，甲状旁腺功能减退</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Layout w:type="fixed"/>
        </w:tblPrEx>
        <w:trPr>
          <w:trHeight w:val="270" w:hRule="atLeast"/>
        </w:trPr>
        <w:tc>
          <w:tcPr>
            <w:tcW w:w="2461" w:type="dxa"/>
            <w:gridSpan w:val="2"/>
            <w:tcBorders>
              <w:top w:val="single" w:color="auto" w:sz="4" w:space="0"/>
              <w:bottom w:val="single" w:color="auto" w:sz="4" w:space="0"/>
              <w:right w:val="single" w:color="auto" w:sz="4" w:space="0"/>
            </w:tcBorders>
            <w:shd w:val="clear" w:color="000000" w:fill="C0C0C0"/>
            <w:vAlign w:val="center"/>
          </w:tcPr>
          <w:p>
            <w:pPr>
              <w:widowControl/>
              <w:jc w:val="center"/>
              <w:rPr>
                <w:rFonts w:ascii="黑体" w:hAnsi="黑体" w:eastAsia="黑体" w:cs="宋体"/>
                <w:b/>
                <w:bCs/>
                <w:kern w:val="0"/>
                <w:sz w:val="20"/>
                <w:szCs w:val="20"/>
              </w:rPr>
            </w:pPr>
            <w:r>
              <w:rPr>
                <w:rFonts w:hint="eastAsia" w:ascii="黑体" w:hAnsi="黑体" w:eastAsia="黑体" w:cs="宋体"/>
                <w:b/>
                <w:bCs/>
                <w:kern w:val="0"/>
                <w:sz w:val="20"/>
                <w:szCs w:val="20"/>
              </w:rPr>
              <w:t>　</w:t>
            </w:r>
          </w:p>
        </w:tc>
        <w:tc>
          <w:tcPr>
            <w:tcW w:w="640" w:type="dxa"/>
            <w:tcBorders>
              <w:top w:val="nil"/>
              <w:left w:val="nil"/>
              <w:bottom w:val="single" w:color="auto" w:sz="4" w:space="0"/>
              <w:right w:val="single" w:color="auto" w:sz="4" w:space="0"/>
            </w:tcBorders>
            <w:shd w:val="clear" w:color="000000" w:fill="C0C0C0"/>
            <w:vAlign w:val="center"/>
          </w:tcPr>
          <w:p>
            <w:pPr>
              <w:widowControl/>
              <w:jc w:val="center"/>
              <w:rPr>
                <w:rFonts w:ascii="黑体" w:hAnsi="黑体" w:eastAsia="黑体" w:cs="宋体"/>
                <w:b/>
                <w:bCs/>
                <w:kern w:val="0"/>
                <w:sz w:val="20"/>
                <w:szCs w:val="20"/>
              </w:rPr>
            </w:pPr>
            <w:r>
              <w:rPr>
                <w:rFonts w:hint="eastAsia" w:ascii="黑体" w:hAnsi="黑体" w:eastAsia="黑体" w:cs="宋体"/>
                <w:b/>
                <w:bCs/>
                <w:kern w:val="0"/>
                <w:sz w:val="20"/>
                <w:szCs w:val="20"/>
              </w:rPr>
              <w:t>　</w:t>
            </w:r>
          </w:p>
        </w:tc>
        <w:tc>
          <w:tcPr>
            <w:tcW w:w="640" w:type="dxa"/>
            <w:tcBorders>
              <w:top w:val="nil"/>
              <w:left w:val="nil"/>
              <w:bottom w:val="single" w:color="auto" w:sz="4" w:space="0"/>
              <w:right w:val="single" w:color="auto" w:sz="4" w:space="0"/>
            </w:tcBorders>
            <w:shd w:val="clear" w:color="000000" w:fill="C0C0C0"/>
            <w:vAlign w:val="center"/>
          </w:tcPr>
          <w:p>
            <w:pPr>
              <w:widowControl/>
              <w:jc w:val="center"/>
              <w:rPr>
                <w:rFonts w:ascii="黑体" w:hAnsi="黑体" w:eastAsia="黑体" w:cs="宋体"/>
                <w:b/>
                <w:bCs/>
                <w:kern w:val="0"/>
                <w:sz w:val="20"/>
                <w:szCs w:val="20"/>
              </w:rPr>
            </w:pPr>
            <w:r>
              <w:rPr>
                <w:rFonts w:hint="eastAsia" w:ascii="黑体" w:hAnsi="黑体" w:eastAsia="黑体" w:cs="宋体"/>
                <w:b/>
                <w:bCs/>
                <w:kern w:val="0"/>
                <w:sz w:val="20"/>
                <w:szCs w:val="20"/>
              </w:rPr>
              <w:t>　</w:t>
            </w:r>
          </w:p>
        </w:tc>
        <w:tc>
          <w:tcPr>
            <w:tcW w:w="640" w:type="dxa"/>
            <w:tcBorders>
              <w:top w:val="nil"/>
              <w:left w:val="nil"/>
              <w:bottom w:val="single" w:color="auto" w:sz="4" w:space="0"/>
              <w:right w:val="single" w:color="auto" w:sz="4" w:space="0"/>
            </w:tcBorders>
            <w:shd w:val="clear" w:color="000000" w:fill="C0C0C0"/>
            <w:vAlign w:val="center"/>
          </w:tcPr>
          <w:p>
            <w:pPr>
              <w:widowControl/>
              <w:jc w:val="center"/>
              <w:rPr>
                <w:rFonts w:ascii="黑体" w:hAnsi="黑体" w:eastAsia="黑体" w:cs="宋体"/>
                <w:b/>
                <w:bCs/>
                <w:kern w:val="0"/>
                <w:sz w:val="20"/>
                <w:szCs w:val="20"/>
              </w:rPr>
            </w:pPr>
            <w:r>
              <w:rPr>
                <w:rFonts w:hint="eastAsia" w:ascii="黑体" w:hAnsi="黑体" w:eastAsia="黑体" w:cs="宋体"/>
                <w:b/>
                <w:bCs/>
                <w:kern w:val="0"/>
                <w:sz w:val="20"/>
                <w:szCs w:val="20"/>
              </w:rPr>
              <w:t>　</w:t>
            </w:r>
          </w:p>
        </w:tc>
        <w:tc>
          <w:tcPr>
            <w:tcW w:w="5820" w:type="dxa"/>
            <w:tcBorders>
              <w:top w:val="nil"/>
              <w:left w:val="nil"/>
              <w:bottom w:val="single" w:color="auto" w:sz="4" w:space="0"/>
            </w:tcBorders>
            <w:shd w:val="clear" w:color="000000" w:fill="C0C0C0"/>
            <w:vAlign w:val="center"/>
          </w:tcPr>
          <w:p>
            <w:pPr>
              <w:widowControl/>
              <w:jc w:val="center"/>
              <w:rPr>
                <w:rFonts w:ascii="黑体" w:hAnsi="黑体" w:eastAsia="黑体" w:cs="宋体"/>
                <w:b/>
                <w:bCs/>
                <w:kern w:val="0"/>
                <w:sz w:val="20"/>
                <w:szCs w:val="20"/>
              </w:rPr>
            </w:pPr>
            <w:r>
              <w:rPr>
                <w:rFonts w:hint="eastAsia" w:ascii="黑体" w:hAnsi="黑体" w:eastAsia="黑体" w:cs="宋体"/>
                <w:b/>
                <w:bCs/>
                <w:kern w:val="0"/>
                <w:sz w:val="20"/>
                <w:szCs w:val="20"/>
              </w:rPr>
              <w:t>　</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Layout w:type="fixed"/>
          <w:tblCellMar>
            <w:top w:w="0" w:type="dxa"/>
            <w:left w:w="108" w:type="dxa"/>
            <w:bottom w:w="0" w:type="dxa"/>
            <w:right w:w="108" w:type="dxa"/>
          </w:tblCellMar>
        </w:tblPrEx>
        <w:trPr>
          <w:trHeight w:val="270" w:hRule="atLeast"/>
        </w:trPr>
        <w:tc>
          <w:tcPr>
            <w:tcW w:w="2461" w:type="dxa"/>
            <w:gridSpan w:val="2"/>
            <w:tcBorders>
              <w:top w:val="single" w:color="auto" w:sz="4" w:space="0"/>
              <w:bottom w:val="single" w:color="auto" w:sz="4" w:space="0"/>
              <w:right w:val="single" w:color="auto" w:sz="4" w:space="0"/>
            </w:tcBorders>
            <w:shd w:val="clear" w:color="000000" w:fill="C0C0C0"/>
            <w:vAlign w:val="center"/>
          </w:tcPr>
          <w:p>
            <w:pPr>
              <w:widowControl/>
              <w:jc w:val="left"/>
              <w:rPr>
                <w:rFonts w:ascii="黑体" w:hAnsi="黑体" w:eastAsia="黑体" w:cs="宋体"/>
                <w:b/>
                <w:bCs/>
                <w:kern w:val="0"/>
                <w:sz w:val="20"/>
                <w:szCs w:val="20"/>
              </w:rPr>
            </w:pPr>
            <w:r>
              <w:rPr>
                <w:rFonts w:hint="eastAsia" w:ascii="黑体" w:hAnsi="黑体" w:eastAsia="黑体" w:cs="宋体"/>
                <w:b/>
                <w:bCs/>
                <w:kern w:val="0"/>
                <w:sz w:val="20"/>
                <w:szCs w:val="20"/>
              </w:rPr>
              <w:t>心脑血管疾病检测系列</w:t>
            </w:r>
          </w:p>
        </w:tc>
        <w:tc>
          <w:tcPr>
            <w:tcW w:w="640" w:type="dxa"/>
            <w:tcBorders>
              <w:top w:val="nil"/>
              <w:left w:val="nil"/>
              <w:bottom w:val="single" w:color="auto" w:sz="4" w:space="0"/>
              <w:right w:val="single" w:color="auto" w:sz="4" w:space="0"/>
            </w:tcBorders>
            <w:shd w:val="clear" w:color="000000" w:fill="C0C0C0"/>
            <w:vAlign w:val="center"/>
          </w:tcPr>
          <w:p>
            <w:pPr>
              <w:widowControl/>
              <w:jc w:val="center"/>
              <w:rPr>
                <w:rFonts w:ascii="黑体" w:hAnsi="黑体" w:eastAsia="黑体" w:cs="宋体"/>
                <w:kern w:val="0"/>
                <w:sz w:val="20"/>
                <w:szCs w:val="20"/>
              </w:rPr>
            </w:pPr>
            <w:r>
              <w:rPr>
                <w:rFonts w:hint="eastAsia" w:ascii="黑体" w:hAnsi="黑体" w:eastAsia="黑体" w:cs="宋体"/>
                <w:kern w:val="0"/>
                <w:sz w:val="20"/>
                <w:szCs w:val="20"/>
              </w:rPr>
              <w:t>　</w:t>
            </w:r>
          </w:p>
        </w:tc>
        <w:tc>
          <w:tcPr>
            <w:tcW w:w="640" w:type="dxa"/>
            <w:tcBorders>
              <w:top w:val="nil"/>
              <w:left w:val="nil"/>
              <w:bottom w:val="single" w:color="auto" w:sz="4" w:space="0"/>
              <w:right w:val="single" w:color="auto" w:sz="4" w:space="0"/>
            </w:tcBorders>
            <w:shd w:val="clear" w:color="000000" w:fill="C0C0C0"/>
            <w:vAlign w:val="center"/>
          </w:tcPr>
          <w:p>
            <w:pPr>
              <w:widowControl/>
              <w:jc w:val="center"/>
              <w:rPr>
                <w:rFonts w:ascii="黑体" w:hAnsi="黑体" w:eastAsia="黑体" w:cs="宋体"/>
                <w:kern w:val="0"/>
                <w:sz w:val="20"/>
                <w:szCs w:val="20"/>
              </w:rPr>
            </w:pPr>
            <w:r>
              <w:rPr>
                <w:rFonts w:hint="eastAsia" w:ascii="黑体" w:hAnsi="黑体" w:eastAsia="黑体" w:cs="宋体"/>
                <w:kern w:val="0"/>
                <w:sz w:val="20"/>
                <w:szCs w:val="20"/>
              </w:rPr>
              <w:t>　</w:t>
            </w:r>
          </w:p>
        </w:tc>
        <w:tc>
          <w:tcPr>
            <w:tcW w:w="640" w:type="dxa"/>
            <w:tcBorders>
              <w:top w:val="nil"/>
              <w:left w:val="nil"/>
              <w:bottom w:val="single" w:color="auto" w:sz="4" w:space="0"/>
              <w:right w:val="single" w:color="auto" w:sz="4" w:space="0"/>
            </w:tcBorders>
            <w:shd w:val="clear" w:color="000000" w:fill="C0C0C0"/>
            <w:vAlign w:val="center"/>
          </w:tcPr>
          <w:p>
            <w:pPr>
              <w:widowControl/>
              <w:jc w:val="center"/>
              <w:rPr>
                <w:rFonts w:ascii="黑体" w:hAnsi="黑体" w:eastAsia="黑体" w:cs="宋体"/>
                <w:kern w:val="0"/>
                <w:sz w:val="20"/>
                <w:szCs w:val="20"/>
              </w:rPr>
            </w:pPr>
            <w:r>
              <w:rPr>
                <w:rFonts w:hint="eastAsia" w:ascii="黑体" w:hAnsi="黑体" w:eastAsia="黑体" w:cs="宋体"/>
                <w:kern w:val="0"/>
                <w:sz w:val="20"/>
                <w:szCs w:val="20"/>
              </w:rPr>
              <w:t>　</w:t>
            </w:r>
          </w:p>
        </w:tc>
        <w:tc>
          <w:tcPr>
            <w:tcW w:w="5820" w:type="dxa"/>
            <w:tcBorders>
              <w:top w:val="nil"/>
              <w:left w:val="nil"/>
              <w:bottom w:val="single" w:color="auto" w:sz="4" w:space="0"/>
            </w:tcBorders>
            <w:shd w:val="clear" w:color="000000" w:fill="C0C0C0"/>
            <w:vAlign w:val="center"/>
          </w:tcPr>
          <w:p>
            <w:pPr>
              <w:widowControl/>
              <w:jc w:val="left"/>
              <w:rPr>
                <w:rFonts w:ascii="黑体" w:hAnsi="黑体" w:eastAsia="黑体" w:cs="宋体"/>
                <w:kern w:val="0"/>
                <w:sz w:val="20"/>
                <w:szCs w:val="20"/>
              </w:rPr>
            </w:pPr>
            <w:r>
              <w:rPr>
                <w:rFonts w:hint="eastAsia" w:ascii="黑体" w:hAnsi="黑体" w:eastAsia="黑体" w:cs="宋体"/>
                <w:kern w:val="0"/>
                <w:sz w:val="20"/>
                <w:szCs w:val="20"/>
              </w:rPr>
              <w:t>　</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Layout w:type="fixed"/>
          <w:tblCellMar>
            <w:top w:w="0" w:type="dxa"/>
            <w:left w:w="108" w:type="dxa"/>
            <w:bottom w:w="0" w:type="dxa"/>
            <w:right w:w="108" w:type="dxa"/>
          </w:tblCellMar>
        </w:tblPrEx>
        <w:trPr>
          <w:trHeight w:val="600" w:hRule="atLeast"/>
        </w:trPr>
        <w:tc>
          <w:tcPr>
            <w:tcW w:w="2461" w:type="dxa"/>
            <w:gridSpan w:val="2"/>
            <w:tcBorders>
              <w:top w:val="single" w:color="auto" w:sz="4" w:space="0"/>
              <w:bottom w:val="single" w:color="auto" w:sz="4" w:space="0"/>
              <w:right w:val="single" w:color="auto" w:sz="4" w:space="0"/>
            </w:tcBorders>
            <w:shd w:val="clear" w:color="auto" w:fill="auto"/>
            <w:vAlign w:val="center"/>
          </w:tcPr>
          <w:p>
            <w:pPr>
              <w:widowControl/>
              <w:jc w:val="left"/>
              <w:rPr>
                <w:rFonts w:ascii="黑体" w:hAnsi="黑体" w:eastAsia="黑体" w:cs="宋体"/>
                <w:kern w:val="0"/>
                <w:sz w:val="20"/>
                <w:szCs w:val="20"/>
              </w:rPr>
            </w:pPr>
            <w:r>
              <w:rPr>
                <w:rFonts w:hint="eastAsia" w:ascii="黑体" w:hAnsi="黑体" w:eastAsia="黑体" w:cs="宋体"/>
                <w:kern w:val="0"/>
                <w:sz w:val="20"/>
                <w:szCs w:val="20"/>
              </w:rPr>
              <w:t>血脂四项（TG\TC\HDL-C\LDL-C）</w:t>
            </w:r>
          </w:p>
        </w:tc>
        <w:tc>
          <w:tcPr>
            <w:tcW w:w="640"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20"/>
                <w:szCs w:val="20"/>
              </w:rPr>
            </w:pPr>
            <w:r>
              <w:rPr>
                <w:rFonts w:hint="eastAsia" w:ascii="黑体" w:hAnsi="黑体" w:eastAsia="黑体" w:cs="宋体"/>
                <w:kern w:val="0"/>
                <w:sz w:val="20"/>
                <w:szCs w:val="20"/>
              </w:rPr>
              <w:t>●</w:t>
            </w:r>
          </w:p>
        </w:tc>
        <w:tc>
          <w:tcPr>
            <w:tcW w:w="640"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20"/>
                <w:szCs w:val="20"/>
              </w:rPr>
            </w:pPr>
            <w:r>
              <w:rPr>
                <w:rFonts w:hint="eastAsia" w:ascii="黑体" w:hAnsi="黑体" w:eastAsia="黑体" w:cs="宋体"/>
                <w:kern w:val="0"/>
                <w:sz w:val="20"/>
                <w:szCs w:val="20"/>
              </w:rPr>
              <w:t>●</w:t>
            </w:r>
          </w:p>
        </w:tc>
        <w:tc>
          <w:tcPr>
            <w:tcW w:w="640"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20"/>
                <w:szCs w:val="20"/>
              </w:rPr>
            </w:pPr>
            <w:r>
              <w:rPr>
                <w:rFonts w:hint="eastAsia" w:ascii="黑体" w:hAnsi="黑体" w:eastAsia="黑体" w:cs="宋体"/>
                <w:kern w:val="0"/>
                <w:sz w:val="20"/>
                <w:szCs w:val="20"/>
              </w:rPr>
              <w:t>●</w:t>
            </w:r>
          </w:p>
        </w:tc>
        <w:tc>
          <w:tcPr>
            <w:tcW w:w="5820" w:type="dxa"/>
            <w:tcBorders>
              <w:top w:val="nil"/>
              <w:left w:val="nil"/>
              <w:bottom w:val="single" w:color="auto" w:sz="4" w:space="0"/>
            </w:tcBorders>
            <w:shd w:val="clear" w:color="auto" w:fill="auto"/>
            <w:vAlign w:val="center"/>
          </w:tcPr>
          <w:p>
            <w:pPr>
              <w:widowControl/>
              <w:jc w:val="left"/>
              <w:rPr>
                <w:rFonts w:ascii="黑体" w:hAnsi="黑体" w:eastAsia="黑体" w:cs="宋体"/>
                <w:kern w:val="0"/>
                <w:sz w:val="20"/>
                <w:szCs w:val="20"/>
              </w:rPr>
            </w:pPr>
            <w:r>
              <w:rPr>
                <w:rFonts w:hint="eastAsia" w:ascii="黑体" w:hAnsi="黑体" w:eastAsia="黑体" w:cs="宋体"/>
                <w:kern w:val="0"/>
                <w:sz w:val="20"/>
                <w:szCs w:val="20"/>
              </w:rPr>
              <w:t>TG\TC\HDL-C\LDL-C</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Layout w:type="fixed"/>
          <w:tblCellMar>
            <w:top w:w="0" w:type="dxa"/>
            <w:left w:w="108" w:type="dxa"/>
            <w:bottom w:w="0" w:type="dxa"/>
            <w:right w:w="108" w:type="dxa"/>
          </w:tblCellMar>
        </w:tblPrEx>
        <w:trPr>
          <w:trHeight w:val="270" w:hRule="atLeast"/>
        </w:trPr>
        <w:tc>
          <w:tcPr>
            <w:tcW w:w="2461" w:type="dxa"/>
            <w:gridSpan w:val="2"/>
            <w:tcBorders>
              <w:top w:val="single" w:color="auto" w:sz="4" w:space="0"/>
              <w:bottom w:val="single" w:color="auto" w:sz="4" w:space="0"/>
              <w:right w:val="single" w:color="auto" w:sz="4" w:space="0"/>
            </w:tcBorders>
            <w:shd w:val="clear" w:color="000000" w:fill="C0C0C0"/>
            <w:vAlign w:val="center"/>
          </w:tcPr>
          <w:p>
            <w:pPr>
              <w:widowControl/>
              <w:jc w:val="left"/>
              <w:rPr>
                <w:rFonts w:ascii="黑体" w:hAnsi="黑体" w:eastAsia="黑体" w:cs="宋体"/>
                <w:b/>
                <w:bCs/>
                <w:kern w:val="0"/>
                <w:sz w:val="20"/>
                <w:szCs w:val="20"/>
              </w:rPr>
            </w:pPr>
            <w:r>
              <w:rPr>
                <w:rFonts w:hint="eastAsia" w:ascii="黑体" w:hAnsi="黑体" w:eastAsia="黑体" w:cs="宋体"/>
                <w:b/>
                <w:bCs/>
                <w:kern w:val="0"/>
                <w:sz w:val="20"/>
                <w:szCs w:val="20"/>
              </w:rPr>
              <w:t>肾功能检测系列</w:t>
            </w:r>
          </w:p>
        </w:tc>
        <w:tc>
          <w:tcPr>
            <w:tcW w:w="640" w:type="dxa"/>
            <w:tcBorders>
              <w:top w:val="nil"/>
              <w:left w:val="nil"/>
              <w:bottom w:val="single" w:color="auto" w:sz="4" w:space="0"/>
              <w:right w:val="single" w:color="auto" w:sz="4" w:space="0"/>
            </w:tcBorders>
            <w:shd w:val="clear" w:color="000000" w:fill="C0C0C0"/>
            <w:vAlign w:val="center"/>
          </w:tcPr>
          <w:p>
            <w:pPr>
              <w:widowControl/>
              <w:jc w:val="center"/>
              <w:rPr>
                <w:rFonts w:ascii="黑体" w:hAnsi="黑体" w:eastAsia="黑体" w:cs="宋体"/>
                <w:kern w:val="0"/>
                <w:sz w:val="20"/>
                <w:szCs w:val="20"/>
              </w:rPr>
            </w:pPr>
            <w:r>
              <w:rPr>
                <w:rFonts w:hint="eastAsia" w:ascii="黑体" w:hAnsi="黑体" w:eastAsia="黑体" w:cs="宋体"/>
                <w:kern w:val="0"/>
                <w:sz w:val="20"/>
                <w:szCs w:val="20"/>
              </w:rPr>
              <w:t>　</w:t>
            </w:r>
          </w:p>
        </w:tc>
        <w:tc>
          <w:tcPr>
            <w:tcW w:w="640" w:type="dxa"/>
            <w:tcBorders>
              <w:top w:val="nil"/>
              <w:left w:val="nil"/>
              <w:bottom w:val="single" w:color="auto" w:sz="4" w:space="0"/>
              <w:right w:val="single" w:color="auto" w:sz="4" w:space="0"/>
            </w:tcBorders>
            <w:shd w:val="clear" w:color="000000" w:fill="C0C0C0"/>
            <w:vAlign w:val="center"/>
          </w:tcPr>
          <w:p>
            <w:pPr>
              <w:widowControl/>
              <w:jc w:val="center"/>
              <w:rPr>
                <w:rFonts w:ascii="黑体" w:hAnsi="黑体" w:eastAsia="黑体" w:cs="宋体"/>
                <w:kern w:val="0"/>
                <w:sz w:val="20"/>
                <w:szCs w:val="20"/>
              </w:rPr>
            </w:pPr>
            <w:r>
              <w:rPr>
                <w:rFonts w:hint="eastAsia" w:ascii="黑体" w:hAnsi="黑体" w:eastAsia="黑体" w:cs="宋体"/>
                <w:kern w:val="0"/>
                <w:sz w:val="20"/>
                <w:szCs w:val="20"/>
              </w:rPr>
              <w:t>　</w:t>
            </w:r>
          </w:p>
        </w:tc>
        <w:tc>
          <w:tcPr>
            <w:tcW w:w="640" w:type="dxa"/>
            <w:tcBorders>
              <w:top w:val="nil"/>
              <w:left w:val="nil"/>
              <w:bottom w:val="single" w:color="auto" w:sz="4" w:space="0"/>
              <w:right w:val="single" w:color="auto" w:sz="4" w:space="0"/>
            </w:tcBorders>
            <w:shd w:val="clear" w:color="000000" w:fill="C0C0C0"/>
            <w:vAlign w:val="center"/>
          </w:tcPr>
          <w:p>
            <w:pPr>
              <w:widowControl/>
              <w:jc w:val="center"/>
              <w:rPr>
                <w:rFonts w:ascii="黑体" w:hAnsi="黑体" w:eastAsia="黑体" w:cs="宋体"/>
                <w:kern w:val="0"/>
                <w:sz w:val="20"/>
                <w:szCs w:val="20"/>
              </w:rPr>
            </w:pPr>
            <w:r>
              <w:rPr>
                <w:rFonts w:hint="eastAsia" w:ascii="黑体" w:hAnsi="黑体" w:eastAsia="黑体" w:cs="宋体"/>
                <w:kern w:val="0"/>
                <w:sz w:val="20"/>
                <w:szCs w:val="20"/>
              </w:rPr>
              <w:t>　</w:t>
            </w:r>
          </w:p>
        </w:tc>
        <w:tc>
          <w:tcPr>
            <w:tcW w:w="5820" w:type="dxa"/>
            <w:tcBorders>
              <w:top w:val="nil"/>
              <w:left w:val="nil"/>
              <w:bottom w:val="single" w:color="auto" w:sz="4" w:space="0"/>
            </w:tcBorders>
            <w:shd w:val="clear" w:color="000000" w:fill="C0C0C0"/>
            <w:vAlign w:val="center"/>
          </w:tcPr>
          <w:p>
            <w:pPr>
              <w:widowControl/>
              <w:jc w:val="left"/>
              <w:rPr>
                <w:rFonts w:ascii="黑体" w:hAnsi="黑体" w:eastAsia="黑体" w:cs="宋体"/>
                <w:kern w:val="0"/>
                <w:sz w:val="20"/>
                <w:szCs w:val="20"/>
              </w:rPr>
            </w:pPr>
            <w:r>
              <w:rPr>
                <w:rFonts w:hint="eastAsia" w:ascii="黑体" w:hAnsi="黑体" w:eastAsia="黑体" w:cs="宋体"/>
                <w:kern w:val="0"/>
                <w:sz w:val="20"/>
                <w:szCs w:val="20"/>
              </w:rPr>
              <w:t>　</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Layout w:type="fixed"/>
          <w:tblCellMar>
            <w:top w:w="0" w:type="dxa"/>
            <w:left w:w="108" w:type="dxa"/>
            <w:bottom w:w="0" w:type="dxa"/>
            <w:right w:w="108" w:type="dxa"/>
          </w:tblCellMar>
        </w:tblPrEx>
        <w:trPr>
          <w:trHeight w:val="720" w:hRule="atLeast"/>
        </w:trPr>
        <w:tc>
          <w:tcPr>
            <w:tcW w:w="2461" w:type="dxa"/>
            <w:gridSpan w:val="2"/>
            <w:tcBorders>
              <w:top w:val="single" w:color="auto" w:sz="4" w:space="0"/>
              <w:bottom w:val="single" w:color="auto" w:sz="4" w:space="0"/>
              <w:right w:val="single" w:color="auto" w:sz="4" w:space="0"/>
            </w:tcBorders>
            <w:shd w:val="clear" w:color="auto" w:fill="auto"/>
            <w:vAlign w:val="center"/>
          </w:tcPr>
          <w:p>
            <w:pPr>
              <w:widowControl/>
              <w:jc w:val="left"/>
              <w:rPr>
                <w:rFonts w:ascii="黑体" w:hAnsi="黑体" w:eastAsia="黑体" w:cs="宋体"/>
                <w:kern w:val="0"/>
                <w:sz w:val="20"/>
                <w:szCs w:val="20"/>
              </w:rPr>
            </w:pPr>
            <w:r>
              <w:rPr>
                <w:rFonts w:hint="eastAsia" w:ascii="黑体" w:hAnsi="黑体" w:eastAsia="黑体" w:cs="宋体"/>
                <w:kern w:val="0"/>
                <w:sz w:val="20"/>
                <w:szCs w:val="20"/>
              </w:rPr>
              <w:t>尿素（尿素氮）测定(UREA)</w:t>
            </w:r>
          </w:p>
        </w:tc>
        <w:tc>
          <w:tcPr>
            <w:tcW w:w="640"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20"/>
                <w:szCs w:val="20"/>
              </w:rPr>
            </w:pPr>
            <w:r>
              <w:rPr>
                <w:rFonts w:hint="eastAsia" w:ascii="黑体" w:hAnsi="黑体" w:eastAsia="黑体" w:cs="宋体"/>
                <w:kern w:val="0"/>
                <w:sz w:val="20"/>
                <w:szCs w:val="20"/>
              </w:rPr>
              <w:t>●</w:t>
            </w:r>
          </w:p>
        </w:tc>
        <w:tc>
          <w:tcPr>
            <w:tcW w:w="640"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20"/>
                <w:szCs w:val="20"/>
              </w:rPr>
            </w:pPr>
            <w:r>
              <w:rPr>
                <w:rFonts w:hint="eastAsia" w:ascii="黑体" w:hAnsi="黑体" w:eastAsia="黑体" w:cs="宋体"/>
                <w:kern w:val="0"/>
                <w:sz w:val="20"/>
                <w:szCs w:val="20"/>
              </w:rPr>
              <w:t>●</w:t>
            </w:r>
          </w:p>
        </w:tc>
        <w:tc>
          <w:tcPr>
            <w:tcW w:w="640"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20"/>
                <w:szCs w:val="20"/>
              </w:rPr>
            </w:pPr>
            <w:r>
              <w:rPr>
                <w:rFonts w:hint="eastAsia" w:ascii="黑体" w:hAnsi="黑体" w:eastAsia="黑体" w:cs="宋体"/>
                <w:kern w:val="0"/>
                <w:sz w:val="20"/>
                <w:szCs w:val="20"/>
              </w:rPr>
              <w:t>●</w:t>
            </w:r>
          </w:p>
        </w:tc>
        <w:tc>
          <w:tcPr>
            <w:tcW w:w="5820" w:type="dxa"/>
            <w:tcBorders>
              <w:top w:val="nil"/>
              <w:left w:val="nil"/>
              <w:bottom w:val="single" w:color="auto" w:sz="4" w:space="0"/>
            </w:tcBorders>
            <w:shd w:val="clear" w:color="auto" w:fill="auto"/>
            <w:vAlign w:val="center"/>
          </w:tcPr>
          <w:p>
            <w:pPr>
              <w:widowControl/>
              <w:jc w:val="left"/>
              <w:rPr>
                <w:rFonts w:ascii="黑体" w:hAnsi="黑体" w:eastAsia="黑体" w:cs="宋体"/>
                <w:kern w:val="0"/>
                <w:sz w:val="20"/>
                <w:szCs w:val="20"/>
              </w:rPr>
            </w:pPr>
            <w:r>
              <w:rPr>
                <w:rFonts w:hint="eastAsia" w:ascii="黑体" w:hAnsi="黑体" w:eastAsia="黑体" w:cs="宋体"/>
                <w:kern w:val="0"/>
                <w:sz w:val="20"/>
                <w:szCs w:val="20"/>
              </w:rPr>
              <w:t xml:space="preserve">增高：高蛋白饮食、急性肾小球肾炎、肾病晚期、肾功能衰竭等；                                                               </w:t>
            </w:r>
            <w:r>
              <w:rPr>
                <w:rFonts w:hint="eastAsia" w:ascii="黑体" w:hAnsi="黑体" w:eastAsia="黑体" w:cs="宋体"/>
                <w:kern w:val="0"/>
                <w:sz w:val="20"/>
                <w:szCs w:val="20"/>
              </w:rPr>
              <w:br w:type="textWrapping"/>
            </w:r>
            <w:r>
              <w:rPr>
                <w:rFonts w:hint="eastAsia" w:ascii="黑体" w:hAnsi="黑体" w:eastAsia="黑体" w:cs="宋体"/>
                <w:kern w:val="0"/>
                <w:sz w:val="20"/>
                <w:szCs w:val="20"/>
              </w:rPr>
              <w:t>降低：较少见，中毒性肝炎、肝硬化等。</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Layout w:type="fixed"/>
          <w:tblCellMar>
            <w:top w:w="0" w:type="dxa"/>
            <w:left w:w="108" w:type="dxa"/>
            <w:bottom w:w="0" w:type="dxa"/>
            <w:right w:w="108" w:type="dxa"/>
          </w:tblCellMar>
        </w:tblPrEx>
        <w:trPr>
          <w:trHeight w:val="480" w:hRule="atLeast"/>
        </w:trPr>
        <w:tc>
          <w:tcPr>
            <w:tcW w:w="2461" w:type="dxa"/>
            <w:gridSpan w:val="2"/>
            <w:tcBorders>
              <w:top w:val="single" w:color="auto" w:sz="4" w:space="0"/>
              <w:bottom w:val="single" w:color="auto" w:sz="4" w:space="0"/>
              <w:right w:val="single" w:color="auto" w:sz="4" w:space="0"/>
            </w:tcBorders>
            <w:shd w:val="clear" w:color="auto" w:fill="auto"/>
            <w:vAlign w:val="center"/>
          </w:tcPr>
          <w:p>
            <w:pPr>
              <w:widowControl/>
              <w:jc w:val="left"/>
              <w:rPr>
                <w:rFonts w:ascii="黑体" w:hAnsi="黑体" w:eastAsia="黑体" w:cs="宋体"/>
                <w:kern w:val="0"/>
                <w:sz w:val="20"/>
                <w:szCs w:val="20"/>
              </w:rPr>
            </w:pPr>
            <w:r>
              <w:rPr>
                <w:rFonts w:hint="eastAsia" w:ascii="黑体" w:hAnsi="黑体" w:eastAsia="黑体" w:cs="宋体"/>
                <w:kern w:val="0"/>
                <w:sz w:val="20"/>
                <w:szCs w:val="20"/>
              </w:rPr>
              <w:t>肌酐测定(Cr)</w:t>
            </w:r>
          </w:p>
        </w:tc>
        <w:tc>
          <w:tcPr>
            <w:tcW w:w="640"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20"/>
                <w:szCs w:val="20"/>
              </w:rPr>
            </w:pPr>
            <w:r>
              <w:rPr>
                <w:rFonts w:hint="eastAsia" w:ascii="黑体" w:hAnsi="黑体" w:eastAsia="黑体" w:cs="宋体"/>
                <w:kern w:val="0"/>
                <w:sz w:val="20"/>
                <w:szCs w:val="20"/>
              </w:rPr>
              <w:t>●</w:t>
            </w:r>
          </w:p>
        </w:tc>
        <w:tc>
          <w:tcPr>
            <w:tcW w:w="640"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20"/>
                <w:szCs w:val="20"/>
              </w:rPr>
            </w:pPr>
            <w:r>
              <w:rPr>
                <w:rFonts w:hint="eastAsia" w:ascii="黑体" w:hAnsi="黑体" w:eastAsia="黑体" w:cs="宋体"/>
                <w:kern w:val="0"/>
                <w:sz w:val="20"/>
                <w:szCs w:val="20"/>
              </w:rPr>
              <w:t>●</w:t>
            </w:r>
          </w:p>
        </w:tc>
        <w:tc>
          <w:tcPr>
            <w:tcW w:w="640"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20"/>
                <w:szCs w:val="20"/>
              </w:rPr>
            </w:pPr>
            <w:r>
              <w:rPr>
                <w:rFonts w:hint="eastAsia" w:ascii="黑体" w:hAnsi="黑体" w:eastAsia="黑体" w:cs="宋体"/>
                <w:kern w:val="0"/>
                <w:sz w:val="20"/>
                <w:szCs w:val="20"/>
              </w:rPr>
              <w:t>●</w:t>
            </w:r>
          </w:p>
        </w:tc>
        <w:tc>
          <w:tcPr>
            <w:tcW w:w="5820" w:type="dxa"/>
            <w:tcBorders>
              <w:top w:val="nil"/>
              <w:left w:val="nil"/>
              <w:bottom w:val="single" w:color="auto" w:sz="4" w:space="0"/>
            </w:tcBorders>
            <w:shd w:val="clear" w:color="auto" w:fill="auto"/>
            <w:vAlign w:val="center"/>
          </w:tcPr>
          <w:p>
            <w:pPr>
              <w:widowControl/>
              <w:jc w:val="left"/>
              <w:rPr>
                <w:rFonts w:ascii="黑体" w:hAnsi="黑体" w:eastAsia="黑体" w:cs="宋体"/>
                <w:kern w:val="0"/>
                <w:sz w:val="20"/>
                <w:szCs w:val="20"/>
              </w:rPr>
            </w:pPr>
            <w:r>
              <w:rPr>
                <w:rFonts w:hint="eastAsia" w:ascii="黑体" w:hAnsi="黑体" w:eastAsia="黑体" w:cs="宋体"/>
                <w:kern w:val="0"/>
                <w:sz w:val="20"/>
                <w:szCs w:val="20"/>
              </w:rPr>
              <w:t xml:space="preserve">增高：严重肾功能不全、肾功能障碍、肢端肥大症；降低：营养不良、多尿。  </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Layout w:type="fixed"/>
        </w:tblPrEx>
        <w:trPr>
          <w:trHeight w:val="480" w:hRule="atLeast"/>
        </w:trPr>
        <w:tc>
          <w:tcPr>
            <w:tcW w:w="2461" w:type="dxa"/>
            <w:gridSpan w:val="2"/>
            <w:tcBorders>
              <w:top w:val="single" w:color="auto" w:sz="4" w:space="0"/>
              <w:bottom w:val="single" w:color="auto" w:sz="4" w:space="0"/>
              <w:right w:val="single" w:color="auto" w:sz="4" w:space="0"/>
            </w:tcBorders>
            <w:shd w:val="clear" w:color="auto" w:fill="auto"/>
            <w:vAlign w:val="center"/>
          </w:tcPr>
          <w:p>
            <w:pPr>
              <w:widowControl/>
              <w:jc w:val="left"/>
              <w:rPr>
                <w:rFonts w:ascii="黑体" w:hAnsi="黑体" w:eastAsia="黑体" w:cs="宋体"/>
                <w:kern w:val="0"/>
                <w:sz w:val="20"/>
                <w:szCs w:val="20"/>
              </w:rPr>
            </w:pPr>
            <w:r>
              <w:rPr>
                <w:rFonts w:hint="eastAsia" w:ascii="黑体" w:hAnsi="黑体" w:eastAsia="黑体" w:cs="宋体"/>
                <w:kern w:val="0"/>
                <w:sz w:val="20"/>
                <w:szCs w:val="20"/>
              </w:rPr>
              <w:t>血清尿酸测定（UA）</w:t>
            </w:r>
          </w:p>
        </w:tc>
        <w:tc>
          <w:tcPr>
            <w:tcW w:w="640"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20"/>
                <w:szCs w:val="20"/>
              </w:rPr>
            </w:pPr>
            <w:r>
              <w:rPr>
                <w:rFonts w:hint="eastAsia" w:ascii="黑体" w:hAnsi="黑体" w:eastAsia="黑体" w:cs="宋体"/>
                <w:kern w:val="0"/>
                <w:sz w:val="20"/>
                <w:szCs w:val="20"/>
              </w:rPr>
              <w:t>●</w:t>
            </w:r>
          </w:p>
        </w:tc>
        <w:tc>
          <w:tcPr>
            <w:tcW w:w="640"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20"/>
                <w:szCs w:val="20"/>
              </w:rPr>
            </w:pPr>
            <w:r>
              <w:rPr>
                <w:rFonts w:hint="eastAsia" w:ascii="黑体" w:hAnsi="黑体" w:eastAsia="黑体" w:cs="宋体"/>
                <w:kern w:val="0"/>
                <w:sz w:val="20"/>
                <w:szCs w:val="20"/>
              </w:rPr>
              <w:t>●</w:t>
            </w:r>
          </w:p>
        </w:tc>
        <w:tc>
          <w:tcPr>
            <w:tcW w:w="640"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20"/>
                <w:szCs w:val="20"/>
              </w:rPr>
            </w:pPr>
            <w:r>
              <w:rPr>
                <w:rFonts w:hint="eastAsia" w:ascii="黑体" w:hAnsi="黑体" w:eastAsia="黑体" w:cs="宋体"/>
                <w:kern w:val="0"/>
                <w:sz w:val="20"/>
                <w:szCs w:val="20"/>
              </w:rPr>
              <w:t>●</w:t>
            </w:r>
          </w:p>
        </w:tc>
        <w:tc>
          <w:tcPr>
            <w:tcW w:w="5820" w:type="dxa"/>
            <w:tcBorders>
              <w:top w:val="nil"/>
              <w:left w:val="nil"/>
              <w:bottom w:val="single" w:color="auto" w:sz="4" w:space="0"/>
            </w:tcBorders>
            <w:shd w:val="clear" w:color="auto" w:fill="auto"/>
            <w:vAlign w:val="center"/>
          </w:tcPr>
          <w:p>
            <w:pPr>
              <w:widowControl/>
              <w:jc w:val="left"/>
              <w:rPr>
                <w:rFonts w:ascii="黑体" w:hAnsi="黑体" w:eastAsia="黑体" w:cs="宋体"/>
                <w:kern w:val="0"/>
                <w:sz w:val="20"/>
                <w:szCs w:val="20"/>
              </w:rPr>
            </w:pPr>
            <w:r>
              <w:rPr>
                <w:rFonts w:hint="eastAsia" w:ascii="黑体" w:hAnsi="黑体" w:eastAsia="黑体" w:cs="宋体"/>
                <w:kern w:val="0"/>
                <w:sz w:val="20"/>
                <w:szCs w:val="20"/>
              </w:rPr>
              <w:t xml:space="preserve">增高：痛风、白血病、急性肾小球肾炎重症肝病 ；                                                                                   </w:t>
            </w:r>
            <w:r>
              <w:rPr>
                <w:rFonts w:hint="eastAsia" w:ascii="黑体" w:hAnsi="黑体" w:eastAsia="黑体" w:cs="宋体"/>
                <w:kern w:val="0"/>
                <w:sz w:val="20"/>
                <w:szCs w:val="20"/>
              </w:rPr>
              <w:br w:type="textWrapping"/>
            </w:r>
            <w:r>
              <w:rPr>
                <w:rFonts w:hint="eastAsia" w:ascii="黑体" w:hAnsi="黑体" w:eastAsia="黑体" w:cs="宋体"/>
                <w:kern w:val="0"/>
                <w:sz w:val="20"/>
                <w:szCs w:val="20"/>
              </w:rPr>
              <w:t>降低：恶性贫血、乳糜泻、服用肾上腺皮质激素等。</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Layout w:type="fixed"/>
          <w:tblCellMar>
            <w:top w:w="0" w:type="dxa"/>
            <w:left w:w="108" w:type="dxa"/>
            <w:bottom w:w="0" w:type="dxa"/>
            <w:right w:w="108" w:type="dxa"/>
          </w:tblCellMar>
        </w:tblPrEx>
        <w:trPr>
          <w:trHeight w:val="270" w:hRule="atLeast"/>
        </w:trPr>
        <w:tc>
          <w:tcPr>
            <w:tcW w:w="2461" w:type="dxa"/>
            <w:gridSpan w:val="2"/>
            <w:tcBorders>
              <w:top w:val="single" w:color="auto" w:sz="4" w:space="0"/>
              <w:bottom w:val="single" w:color="auto" w:sz="4" w:space="0"/>
              <w:right w:val="single" w:color="auto" w:sz="4" w:space="0"/>
            </w:tcBorders>
            <w:shd w:val="clear" w:color="000000" w:fill="C0C0C0"/>
            <w:vAlign w:val="center"/>
          </w:tcPr>
          <w:p>
            <w:pPr>
              <w:widowControl/>
              <w:jc w:val="left"/>
              <w:rPr>
                <w:rFonts w:ascii="黑体" w:hAnsi="黑体" w:eastAsia="黑体" w:cs="宋体"/>
                <w:b/>
                <w:bCs/>
                <w:kern w:val="0"/>
                <w:sz w:val="20"/>
                <w:szCs w:val="20"/>
              </w:rPr>
            </w:pPr>
            <w:r>
              <w:rPr>
                <w:rFonts w:hint="eastAsia" w:ascii="黑体" w:hAnsi="黑体" w:eastAsia="黑体" w:cs="宋体"/>
                <w:b/>
                <w:bCs/>
                <w:kern w:val="0"/>
                <w:sz w:val="20"/>
                <w:szCs w:val="20"/>
              </w:rPr>
              <w:t>肿瘤检测系列</w:t>
            </w:r>
          </w:p>
        </w:tc>
        <w:tc>
          <w:tcPr>
            <w:tcW w:w="640" w:type="dxa"/>
            <w:tcBorders>
              <w:top w:val="nil"/>
              <w:left w:val="nil"/>
              <w:bottom w:val="single" w:color="auto" w:sz="4" w:space="0"/>
              <w:right w:val="single" w:color="auto" w:sz="4" w:space="0"/>
            </w:tcBorders>
            <w:shd w:val="clear" w:color="000000" w:fill="C0C0C0"/>
            <w:vAlign w:val="center"/>
          </w:tcPr>
          <w:p>
            <w:pPr>
              <w:widowControl/>
              <w:jc w:val="center"/>
              <w:rPr>
                <w:rFonts w:ascii="黑体" w:hAnsi="黑体" w:eastAsia="黑体" w:cs="宋体"/>
                <w:kern w:val="0"/>
                <w:sz w:val="20"/>
                <w:szCs w:val="20"/>
              </w:rPr>
            </w:pPr>
            <w:r>
              <w:rPr>
                <w:rFonts w:hint="eastAsia" w:ascii="黑体" w:hAnsi="黑体" w:eastAsia="黑体" w:cs="宋体"/>
                <w:kern w:val="0"/>
                <w:sz w:val="20"/>
                <w:szCs w:val="20"/>
              </w:rPr>
              <w:t>　</w:t>
            </w:r>
          </w:p>
        </w:tc>
        <w:tc>
          <w:tcPr>
            <w:tcW w:w="640" w:type="dxa"/>
            <w:tcBorders>
              <w:top w:val="nil"/>
              <w:left w:val="nil"/>
              <w:bottom w:val="single" w:color="auto" w:sz="4" w:space="0"/>
              <w:right w:val="single" w:color="auto" w:sz="4" w:space="0"/>
            </w:tcBorders>
            <w:shd w:val="clear" w:color="000000" w:fill="C0C0C0"/>
            <w:vAlign w:val="center"/>
          </w:tcPr>
          <w:p>
            <w:pPr>
              <w:widowControl/>
              <w:jc w:val="center"/>
              <w:rPr>
                <w:rFonts w:ascii="黑体" w:hAnsi="黑体" w:eastAsia="黑体" w:cs="宋体"/>
                <w:kern w:val="0"/>
                <w:sz w:val="20"/>
                <w:szCs w:val="20"/>
              </w:rPr>
            </w:pPr>
            <w:r>
              <w:rPr>
                <w:rFonts w:hint="eastAsia" w:ascii="黑体" w:hAnsi="黑体" w:eastAsia="黑体" w:cs="宋体"/>
                <w:kern w:val="0"/>
                <w:sz w:val="20"/>
                <w:szCs w:val="20"/>
              </w:rPr>
              <w:t>　</w:t>
            </w:r>
          </w:p>
        </w:tc>
        <w:tc>
          <w:tcPr>
            <w:tcW w:w="640" w:type="dxa"/>
            <w:tcBorders>
              <w:top w:val="nil"/>
              <w:left w:val="nil"/>
              <w:bottom w:val="single" w:color="auto" w:sz="4" w:space="0"/>
              <w:right w:val="single" w:color="auto" w:sz="4" w:space="0"/>
            </w:tcBorders>
            <w:shd w:val="clear" w:color="000000" w:fill="C0C0C0"/>
            <w:vAlign w:val="center"/>
          </w:tcPr>
          <w:p>
            <w:pPr>
              <w:widowControl/>
              <w:jc w:val="center"/>
              <w:rPr>
                <w:rFonts w:ascii="黑体" w:hAnsi="黑体" w:eastAsia="黑体" w:cs="宋体"/>
                <w:kern w:val="0"/>
                <w:sz w:val="20"/>
                <w:szCs w:val="20"/>
              </w:rPr>
            </w:pPr>
            <w:r>
              <w:rPr>
                <w:rFonts w:hint="eastAsia" w:ascii="黑体" w:hAnsi="黑体" w:eastAsia="黑体" w:cs="宋体"/>
                <w:kern w:val="0"/>
                <w:sz w:val="20"/>
                <w:szCs w:val="20"/>
              </w:rPr>
              <w:t>　</w:t>
            </w:r>
          </w:p>
        </w:tc>
        <w:tc>
          <w:tcPr>
            <w:tcW w:w="5820" w:type="dxa"/>
            <w:tcBorders>
              <w:top w:val="nil"/>
              <w:left w:val="nil"/>
              <w:bottom w:val="single" w:color="auto" w:sz="4" w:space="0"/>
            </w:tcBorders>
            <w:shd w:val="clear" w:color="000000" w:fill="C0C0C0"/>
            <w:vAlign w:val="center"/>
          </w:tcPr>
          <w:p>
            <w:pPr>
              <w:widowControl/>
              <w:jc w:val="left"/>
              <w:rPr>
                <w:rFonts w:ascii="黑体" w:hAnsi="黑体" w:eastAsia="黑体" w:cs="宋体"/>
                <w:kern w:val="0"/>
                <w:sz w:val="20"/>
                <w:szCs w:val="20"/>
              </w:rPr>
            </w:pPr>
            <w:r>
              <w:rPr>
                <w:rFonts w:hint="eastAsia" w:ascii="黑体" w:hAnsi="黑体" w:eastAsia="黑体" w:cs="宋体"/>
                <w:kern w:val="0"/>
                <w:sz w:val="20"/>
                <w:szCs w:val="20"/>
              </w:rPr>
              <w:t>　</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Layout w:type="fixed"/>
          <w:tblCellMar>
            <w:top w:w="0" w:type="dxa"/>
            <w:left w:w="108" w:type="dxa"/>
            <w:bottom w:w="0" w:type="dxa"/>
            <w:right w:w="108" w:type="dxa"/>
          </w:tblCellMar>
        </w:tblPrEx>
        <w:trPr>
          <w:trHeight w:val="480" w:hRule="atLeast"/>
        </w:trPr>
        <w:tc>
          <w:tcPr>
            <w:tcW w:w="2461" w:type="dxa"/>
            <w:gridSpan w:val="2"/>
            <w:tcBorders>
              <w:top w:val="single" w:color="auto" w:sz="4" w:space="0"/>
              <w:bottom w:val="single" w:color="auto" w:sz="4" w:space="0"/>
              <w:right w:val="single" w:color="auto" w:sz="4" w:space="0"/>
            </w:tcBorders>
            <w:shd w:val="clear" w:color="auto" w:fill="auto"/>
            <w:vAlign w:val="center"/>
          </w:tcPr>
          <w:p>
            <w:pPr>
              <w:widowControl/>
              <w:jc w:val="left"/>
              <w:rPr>
                <w:rFonts w:ascii="黑体" w:hAnsi="黑体" w:eastAsia="黑体" w:cs="宋体"/>
                <w:kern w:val="0"/>
                <w:sz w:val="20"/>
                <w:szCs w:val="20"/>
              </w:rPr>
            </w:pPr>
            <w:r>
              <w:rPr>
                <w:rFonts w:hint="eastAsia" w:ascii="黑体" w:hAnsi="黑体" w:eastAsia="黑体" w:cs="宋体"/>
                <w:kern w:val="0"/>
                <w:sz w:val="20"/>
                <w:szCs w:val="20"/>
              </w:rPr>
              <w:t>甲胎蛋白测定(AFP)（定性）</w:t>
            </w:r>
          </w:p>
        </w:tc>
        <w:tc>
          <w:tcPr>
            <w:tcW w:w="640"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20"/>
                <w:szCs w:val="20"/>
              </w:rPr>
            </w:pPr>
            <w:r>
              <w:rPr>
                <w:rFonts w:hint="eastAsia" w:ascii="黑体" w:hAnsi="黑体" w:eastAsia="黑体" w:cs="宋体"/>
                <w:kern w:val="0"/>
                <w:sz w:val="20"/>
                <w:szCs w:val="20"/>
              </w:rPr>
              <w:t>●</w:t>
            </w:r>
          </w:p>
        </w:tc>
        <w:tc>
          <w:tcPr>
            <w:tcW w:w="640"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20"/>
                <w:szCs w:val="20"/>
              </w:rPr>
            </w:pPr>
            <w:r>
              <w:rPr>
                <w:rFonts w:hint="eastAsia" w:ascii="黑体" w:hAnsi="黑体" w:eastAsia="黑体" w:cs="宋体"/>
                <w:kern w:val="0"/>
                <w:sz w:val="20"/>
                <w:szCs w:val="20"/>
              </w:rPr>
              <w:t>●</w:t>
            </w:r>
          </w:p>
        </w:tc>
        <w:tc>
          <w:tcPr>
            <w:tcW w:w="640"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20"/>
                <w:szCs w:val="20"/>
              </w:rPr>
            </w:pPr>
            <w:r>
              <w:rPr>
                <w:rFonts w:hint="eastAsia" w:ascii="黑体" w:hAnsi="黑体" w:eastAsia="黑体" w:cs="宋体"/>
                <w:kern w:val="0"/>
                <w:sz w:val="20"/>
                <w:szCs w:val="20"/>
              </w:rPr>
              <w:t>●</w:t>
            </w:r>
          </w:p>
        </w:tc>
        <w:tc>
          <w:tcPr>
            <w:tcW w:w="5820" w:type="dxa"/>
            <w:tcBorders>
              <w:top w:val="nil"/>
              <w:left w:val="nil"/>
              <w:bottom w:val="single" w:color="auto" w:sz="4" w:space="0"/>
            </w:tcBorders>
            <w:shd w:val="clear" w:color="auto" w:fill="auto"/>
            <w:vAlign w:val="center"/>
          </w:tcPr>
          <w:p>
            <w:pPr>
              <w:widowControl/>
              <w:jc w:val="left"/>
              <w:rPr>
                <w:rFonts w:ascii="黑体" w:hAnsi="黑体" w:eastAsia="黑体" w:cs="宋体"/>
                <w:kern w:val="0"/>
                <w:sz w:val="20"/>
                <w:szCs w:val="20"/>
              </w:rPr>
            </w:pPr>
            <w:r>
              <w:rPr>
                <w:rFonts w:hint="eastAsia" w:ascii="黑体" w:hAnsi="黑体" w:eastAsia="黑体" w:cs="宋体"/>
                <w:kern w:val="0"/>
                <w:sz w:val="20"/>
                <w:szCs w:val="20"/>
              </w:rPr>
              <w:t>主要用于原发性肝癌的辅助诊断，疗效及预后监测。</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Layout w:type="fixed"/>
          <w:tblCellMar>
            <w:top w:w="0" w:type="dxa"/>
            <w:left w:w="108" w:type="dxa"/>
            <w:bottom w:w="0" w:type="dxa"/>
            <w:right w:w="108" w:type="dxa"/>
          </w:tblCellMar>
        </w:tblPrEx>
        <w:trPr>
          <w:trHeight w:val="600" w:hRule="atLeast"/>
        </w:trPr>
        <w:tc>
          <w:tcPr>
            <w:tcW w:w="2461" w:type="dxa"/>
            <w:gridSpan w:val="2"/>
            <w:tcBorders>
              <w:top w:val="single" w:color="auto" w:sz="4" w:space="0"/>
              <w:bottom w:val="single" w:color="auto" w:sz="4" w:space="0"/>
              <w:right w:val="single" w:color="auto" w:sz="4" w:space="0"/>
            </w:tcBorders>
            <w:shd w:val="clear" w:color="auto" w:fill="auto"/>
            <w:vAlign w:val="center"/>
          </w:tcPr>
          <w:p>
            <w:pPr>
              <w:widowControl/>
              <w:jc w:val="left"/>
              <w:rPr>
                <w:rFonts w:ascii="黑体" w:hAnsi="黑体" w:eastAsia="黑体" w:cs="宋体"/>
                <w:kern w:val="0"/>
                <w:sz w:val="20"/>
                <w:szCs w:val="20"/>
              </w:rPr>
            </w:pPr>
            <w:r>
              <w:rPr>
                <w:rFonts w:hint="eastAsia" w:ascii="黑体" w:hAnsi="黑体" w:eastAsia="黑体" w:cs="宋体"/>
                <w:kern w:val="0"/>
                <w:sz w:val="20"/>
                <w:szCs w:val="20"/>
              </w:rPr>
              <w:t>癌胚抗原测定(CEA)（定性）</w:t>
            </w:r>
          </w:p>
        </w:tc>
        <w:tc>
          <w:tcPr>
            <w:tcW w:w="640"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20"/>
                <w:szCs w:val="20"/>
              </w:rPr>
            </w:pPr>
            <w:r>
              <w:rPr>
                <w:rFonts w:hint="eastAsia" w:ascii="黑体" w:hAnsi="黑体" w:eastAsia="黑体" w:cs="宋体"/>
                <w:kern w:val="0"/>
                <w:sz w:val="20"/>
                <w:szCs w:val="20"/>
              </w:rPr>
              <w:t>●</w:t>
            </w:r>
          </w:p>
        </w:tc>
        <w:tc>
          <w:tcPr>
            <w:tcW w:w="640"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20"/>
                <w:szCs w:val="20"/>
              </w:rPr>
            </w:pPr>
            <w:r>
              <w:rPr>
                <w:rFonts w:hint="eastAsia" w:ascii="黑体" w:hAnsi="黑体" w:eastAsia="黑体" w:cs="宋体"/>
                <w:kern w:val="0"/>
                <w:sz w:val="20"/>
                <w:szCs w:val="20"/>
              </w:rPr>
              <w:t>●</w:t>
            </w:r>
          </w:p>
        </w:tc>
        <w:tc>
          <w:tcPr>
            <w:tcW w:w="640"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20"/>
                <w:szCs w:val="20"/>
              </w:rPr>
            </w:pPr>
            <w:r>
              <w:rPr>
                <w:rFonts w:hint="eastAsia" w:ascii="黑体" w:hAnsi="黑体" w:eastAsia="黑体" w:cs="宋体"/>
                <w:kern w:val="0"/>
                <w:sz w:val="20"/>
                <w:szCs w:val="20"/>
              </w:rPr>
              <w:t>●</w:t>
            </w:r>
          </w:p>
        </w:tc>
        <w:tc>
          <w:tcPr>
            <w:tcW w:w="5820" w:type="dxa"/>
            <w:tcBorders>
              <w:top w:val="nil"/>
              <w:left w:val="nil"/>
              <w:bottom w:val="single" w:color="auto" w:sz="4" w:space="0"/>
            </w:tcBorders>
            <w:shd w:val="clear" w:color="auto" w:fill="auto"/>
            <w:vAlign w:val="center"/>
          </w:tcPr>
          <w:p>
            <w:pPr>
              <w:widowControl/>
              <w:jc w:val="left"/>
              <w:rPr>
                <w:rFonts w:ascii="黑体" w:hAnsi="黑体" w:eastAsia="黑体" w:cs="宋体"/>
                <w:kern w:val="0"/>
                <w:sz w:val="20"/>
                <w:szCs w:val="20"/>
              </w:rPr>
            </w:pPr>
            <w:r>
              <w:rPr>
                <w:rFonts w:hint="eastAsia" w:ascii="黑体" w:hAnsi="黑体" w:eastAsia="黑体" w:cs="宋体"/>
                <w:kern w:val="0"/>
                <w:sz w:val="20"/>
                <w:szCs w:val="20"/>
              </w:rPr>
              <w:t>乳腺、肺、胃、结肠、直肠及胰胆等肿瘤诊断和疗效监测、复发监测、判断预后。</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Layout w:type="fixed"/>
          <w:tblCellMar>
            <w:top w:w="0" w:type="dxa"/>
            <w:left w:w="108" w:type="dxa"/>
            <w:bottom w:w="0" w:type="dxa"/>
            <w:right w:w="108" w:type="dxa"/>
          </w:tblCellMar>
        </w:tblPrEx>
        <w:trPr>
          <w:trHeight w:val="462" w:hRule="atLeast"/>
        </w:trPr>
        <w:tc>
          <w:tcPr>
            <w:tcW w:w="2461" w:type="dxa"/>
            <w:gridSpan w:val="2"/>
            <w:tcBorders>
              <w:top w:val="single" w:color="auto" w:sz="4" w:space="0"/>
              <w:bottom w:val="single" w:color="auto" w:sz="4" w:space="0"/>
              <w:right w:val="single" w:color="auto" w:sz="4" w:space="0"/>
            </w:tcBorders>
            <w:shd w:val="clear" w:color="auto" w:fill="auto"/>
            <w:vAlign w:val="center"/>
          </w:tcPr>
          <w:p>
            <w:pPr>
              <w:widowControl/>
              <w:jc w:val="left"/>
              <w:rPr>
                <w:rFonts w:ascii="黑体" w:hAnsi="黑体" w:eastAsia="黑体" w:cs="宋体"/>
                <w:color w:val="000000"/>
                <w:kern w:val="0"/>
                <w:sz w:val="20"/>
                <w:szCs w:val="20"/>
              </w:rPr>
            </w:pPr>
            <w:r>
              <w:rPr>
                <w:rFonts w:hint="eastAsia" w:ascii="黑体" w:hAnsi="黑体" w:eastAsia="黑体" w:cs="宋体"/>
                <w:color w:val="000000"/>
                <w:kern w:val="0"/>
                <w:sz w:val="20"/>
                <w:szCs w:val="20"/>
              </w:rPr>
              <w:t>糖类抗原测定CA125</w:t>
            </w:r>
          </w:p>
        </w:tc>
        <w:tc>
          <w:tcPr>
            <w:tcW w:w="640"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color w:val="000000"/>
                <w:kern w:val="0"/>
                <w:sz w:val="20"/>
                <w:szCs w:val="20"/>
              </w:rPr>
            </w:pPr>
            <w:r>
              <w:rPr>
                <w:rFonts w:hint="eastAsia" w:ascii="黑体" w:hAnsi="黑体" w:eastAsia="黑体" w:cs="宋体"/>
                <w:color w:val="000000"/>
                <w:kern w:val="0"/>
                <w:sz w:val="20"/>
                <w:szCs w:val="20"/>
              </w:rPr>
              <w:t>　</w:t>
            </w:r>
          </w:p>
        </w:tc>
        <w:tc>
          <w:tcPr>
            <w:tcW w:w="640"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color w:val="000000"/>
                <w:kern w:val="0"/>
                <w:sz w:val="20"/>
                <w:szCs w:val="20"/>
              </w:rPr>
            </w:pPr>
            <w:r>
              <w:rPr>
                <w:rFonts w:hint="eastAsia" w:ascii="黑体" w:hAnsi="黑体" w:eastAsia="黑体" w:cs="宋体"/>
                <w:color w:val="000000"/>
                <w:kern w:val="0"/>
                <w:sz w:val="20"/>
                <w:szCs w:val="20"/>
              </w:rPr>
              <w:t>●</w:t>
            </w:r>
          </w:p>
        </w:tc>
        <w:tc>
          <w:tcPr>
            <w:tcW w:w="640"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color w:val="000000"/>
                <w:kern w:val="0"/>
                <w:sz w:val="20"/>
                <w:szCs w:val="20"/>
              </w:rPr>
            </w:pPr>
            <w:r>
              <w:rPr>
                <w:rFonts w:hint="eastAsia" w:ascii="黑体" w:hAnsi="黑体" w:eastAsia="黑体" w:cs="宋体"/>
                <w:color w:val="000000"/>
                <w:kern w:val="0"/>
                <w:sz w:val="20"/>
                <w:szCs w:val="20"/>
              </w:rPr>
              <w:t>●</w:t>
            </w:r>
          </w:p>
        </w:tc>
        <w:tc>
          <w:tcPr>
            <w:tcW w:w="5820" w:type="dxa"/>
            <w:tcBorders>
              <w:top w:val="nil"/>
              <w:left w:val="nil"/>
              <w:bottom w:val="single" w:color="auto" w:sz="4" w:space="0"/>
            </w:tcBorders>
            <w:shd w:val="clear" w:color="auto" w:fill="auto"/>
            <w:vAlign w:val="center"/>
          </w:tcPr>
          <w:p>
            <w:pPr>
              <w:widowControl/>
              <w:jc w:val="left"/>
              <w:rPr>
                <w:rFonts w:ascii="黑体" w:hAnsi="黑体" w:eastAsia="黑体" w:cs="宋体"/>
                <w:color w:val="000000"/>
                <w:kern w:val="0"/>
                <w:sz w:val="20"/>
                <w:szCs w:val="20"/>
              </w:rPr>
            </w:pPr>
            <w:r>
              <w:rPr>
                <w:rFonts w:hint="eastAsia" w:ascii="黑体" w:hAnsi="黑体" w:eastAsia="黑体" w:cs="宋体"/>
                <w:color w:val="000000"/>
                <w:kern w:val="0"/>
                <w:sz w:val="20"/>
                <w:szCs w:val="20"/>
              </w:rPr>
              <w:t>卵巢、子宫内膜、肝、肺、结直肠、胃肠癌辅助诊断和治疗监测。</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Layout w:type="fixed"/>
          <w:tblCellMar>
            <w:top w:w="0" w:type="dxa"/>
            <w:left w:w="108" w:type="dxa"/>
            <w:bottom w:w="0" w:type="dxa"/>
            <w:right w:w="108" w:type="dxa"/>
          </w:tblCellMar>
        </w:tblPrEx>
        <w:trPr>
          <w:trHeight w:val="480" w:hRule="atLeast"/>
        </w:trPr>
        <w:tc>
          <w:tcPr>
            <w:tcW w:w="2461" w:type="dxa"/>
            <w:gridSpan w:val="2"/>
            <w:tcBorders>
              <w:top w:val="single" w:color="auto" w:sz="4" w:space="0"/>
              <w:bottom w:val="single" w:color="auto" w:sz="4" w:space="0"/>
              <w:right w:val="single" w:color="auto" w:sz="4" w:space="0"/>
            </w:tcBorders>
            <w:shd w:val="clear" w:color="auto" w:fill="auto"/>
            <w:vAlign w:val="center"/>
          </w:tcPr>
          <w:p>
            <w:pPr>
              <w:widowControl/>
              <w:jc w:val="left"/>
              <w:rPr>
                <w:rFonts w:ascii="黑体" w:hAnsi="黑体" w:eastAsia="黑体" w:cs="宋体"/>
                <w:color w:val="000000"/>
                <w:kern w:val="0"/>
                <w:sz w:val="20"/>
                <w:szCs w:val="20"/>
              </w:rPr>
            </w:pPr>
            <w:r>
              <w:rPr>
                <w:rFonts w:hint="eastAsia" w:ascii="黑体" w:hAnsi="黑体" w:eastAsia="黑体" w:cs="宋体"/>
                <w:color w:val="000000"/>
                <w:kern w:val="0"/>
                <w:sz w:val="20"/>
                <w:szCs w:val="20"/>
              </w:rPr>
              <w:t>糖类抗原测定CA15-3</w:t>
            </w:r>
          </w:p>
        </w:tc>
        <w:tc>
          <w:tcPr>
            <w:tcW w:w="640"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color w:val="000000"/>
                <w:kern w:val="0"/>
                <w:sz w:val="20"/>
                <w:szCs w:val="20"/>
              </w:rPr>
            </w:pPr>
            <w:r>
              <w:rPr>
                <w:rFonts w:hint="eastAsia" w:ascii="黑体" w:hAnsi="黑体" w:eastAsia="黑体" w:cs="宋体"/>
                <w:color w:val="000000"/>
                <w:kern w:val="0"/>
                <w:sz w:val="20"/>
                <w:szCs w:val="20"/>
              </w:rPr>
              <w:t>　</w:t>
            </w:r>
          </w:p>
        </w:tc>
        <w:tc>
          <w:tcPr>
            <w:tcW w:w="640"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color w:val="000000"/>
                <w:kern w:val="0"/>
                <w:sz w:val="20"/>
                <w:szCs w:val="20"/>
              </w:rPr>
            </w:pPr>
            <w:r>
              <w:rPr>
                <w:rFonts w:hint="eastAsia" w:ascii="黑体" w:hAnsi="黑体" w:eastAsia="黑体" w:cs="宋体"/>
                <w:color w:val="000000"/>
                <w:kern w:val="0"/>
                <w:sz w:val="20"/>
                <w:szCs w:val="20"/>
              </w:rPr>
              <w:t>●</w:t>
            </w:r>
          </w:p>
        </w:tc>
        <w:tc>
          <w:tcPr>
            <w:tcW w:w="640"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color w:val="000000"/>
                <w:kern w:val="0"/>
                <w:sz w:val="20"/>
                <w:szCs w:val="20"/>
              </w:rPr>
            </w:pPr>
            <w:r>
              <w:rPr>
                <w:rFonts w:hint="eastAsia" w:ascii="黑体" w:hAnsi="黑体" w:eastAsia="黑体" w:cs="宋体"/>
                <w:color w:val="000000"/>
                <w:kern w:val="0"/>
                <w:sz w:val="20"/>
                <w:szCs w:val="20"/>
              </w:rPr>
              <w:t>●</w:t>
            </w:r>
          </w:p>
        </w:tc>
        <w:tc>
          <w:tcPr>
            <w:tcW w:w="5820" w:type="dxa"/>
            <w:tcBorders>
              <w:top w:val="nil"/>
              <w:left w:val="nil"/>
              <w:bottom w:val="single" w:color="auto" w:sz="4" w:space="0"/>
            </w:tcBorders>
            <w:shd w:val="clear" w:color="auto" w:fill="auto"/>
            <w:vAlign w:val="center"/>
          </w:tcPr>
          <w:p>
            <w:pPr>
              <w:widowControl/>
              <w:jc w:val="left"/>
              <w:rPr>
                <w:rFonts w:ascii="黑体" w:hAnsi="黑体" w:eastAsia="黑体" w:cs="宋体"/>
                <w:color w:val="000000"/>
                <w:kern w:val="0"/>
                <w:sz w:val="20"/>
                <w:szCs w:val="20"/>
              </w:rPr>
            </w:pPr>
            <w:r>
              <w:rPr>
                <w:rFonts w:hint="eastAsia" w:ascii="黑体" w:hAnsi="黑体" w:eastAsia="黑体" w:cs="宋体"/>
                <w:color w:val="000000"/>
                <w:kern w:val="0"/>
                <w:sz w:val="20"/>
                <w:szCs w:val="20"/>
              </w:rPr>
              <w:t>乳腺癌和转移乳腺癌的辅助诊断及其治疗监测，辅助诊断卵巢癌，肺癌等。</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Layout w:type="fixed"/>
        </w:tblPrEx>
        <w:trPr>
          <w:trHeight w:val="559" w:hRule="atLeast"/>
        </w:trPr>
        <w:tc>
          <w:tcPr>
            <w:tcW w:w="2461" w:type="dxa"/>
            <w:gridSpan w:val="2"/>
            <w:tcBorders>
              <w:top w:val="single" w:color="auto" w:sz="4" w:space="0"/>
              <w:bottom w:val="single" w:color="auto" w:sz="4" w:space="0"/>
              <w:right w:val="single" w:color="auto" w:sz="4" w:space="0"/>
            </w:tcBorders>
            <w:shd w:val="clear" w:color="auto" w:fill="auto"/>
            <w:vAlign w:val="center"/>
          </w:tcPr>
          <w:p>
            <w:pPr>
              <w:widowControl/>
              <w:jc w:val="left"/>
              <w:rPr>
                <w:rFonts w:ascii="黑体" w:hAnsi="黑体" w:eastAsia="黑体" w:cs="宋体"/>
                <w:color w:val="000000"/>
                <w:kern w:val="0"/>
                <w:sz w:val="20"/>
                <w:szCs w:val="20"/>
              </w:rPr>
            </w:pPr>
            <w:r>
              <w:rPr>
                <w:rFonts w:hint="eastAsia" w:ascii="黑体" w:hAnsi="黑体" w:eastAsia="黑体" w:cs="宋体"/>
                <w:color w:val="000000"/>
                <w:kern w:val="0"/>
                <w:sz w:val="20"/>
                <w:szCs w:val="20"/>
              </w:rPr>
              <w:t>总前列腺特异性抗原测定(T-PSA)</w:t>
            </w:r>
          </w:p>
        </w:tc>
        <w:tc>
          <w:tcPr>
            <w:tcW w:w="640"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color w:val="000000"/>
                <w:kern w:val="0"/>
                <w:sz w:val="20"/>
                <w:szCs w:val="20"/>
              </w:rPr>
            </w:pPr>
            <w:r>
              <w:rPr>
                <w:rFonts w:hint="eastAsia" w:ascii="黑体" w:hAnsi="黑体" w:eastAsia="黑体" w:cs="宋体"/>
                <w:color w:val="000000"/>
                <w:kern w:val="0"/>
                <w:sz w:val="20"/>
                <w:szCs w:val="20"/>
              </w:rPr>
              <w:t>●</w:t>
            </w:r>
          </w:p>
        </w:tc>
        <w:tc>
          <w:tcPr>
            <w:tcW w:w="640"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color w:val="000000"/>
                <w:kern w:val="0"/>
                <w:sz w:val="20"/>
                <w:szCs w:val="20"/>
              </w:rPr>
            </w:pPr>
            <w:r>
              <w:rPr>
                <w:rFonts w:hint="eastAsia" w:ascii="黑体" w:hAnsi="黑体" w:eastAsia="黑体" w:cs="宋体"/>
                <w:color w:val="000000"/>
                <w:kern w:val="0"/>
                <w:sz w:val="20"/>
                <w:szCs w:val="20"/>
              </w:rPr>
              <w:t>　</w:t>
            </w:r>
          </w:p>
        </w:tc>
        <w:tc>
          <w:tcPr>
            <w:tcW w:w="640"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color w:val="000000"/>
                <w:kern w:val="0"/>
                <w:sz w:val="20"/>
                <w:szCs w:val="20"/>
              </w:rPr>
            </w:pPr>
            <w:r>
              <w:rPr>
                <w:rFonts w:hint="eastAsia" w:ascii="黑体" w:hAnsi="黑体" w:eastAsia="黑体" w:cs="宋体"/>
                <w:color w:val="000000"/>
                <w:kern w:val="0"/>
                <w:sz w:val="20"/>
                <w:szCs w:val="20"/>
              </w:rPr>
              <w:t>　</w:t>
            </w:r>
          </w:p>
        </w:tc>
        <w:tc>
          <w:tcPr>
            <w:tcW w:w="5820" w:type="dxa"/>
            <w:tcBorders>
              <w:top w:val="nil"/>
              <w:left w:val="nil"/>
              <w:bottom w:val="single" w:color="auto" w:sz="4" w:space="0"/>
            </w:tcBorders>
            <w:shd w:val="clear" w:color="auto" w:fill="auto"/>
            <w:vAlign w:val="center"/>
          </w:tcPr>
          <w:p>
            <w:pPr>
              <w:widowControl/>
              <w:jc w:val="left"/>
              <w:rPr>
                <w:rFonts w:ascii="黑体" w:hAnsi="黑体" w:eastAsia="黑体" w:cs="宋体"/>
                <w:color w:val="000000"/>
                <w:kern w:val="0"/>
                <w:sz w:val="20"/>
                <w:szCs w:val="20"/>
              </w:rPr>
            </w:pPr>
            <w:r>
              <w:rPr>
                <w:rFonts w:hint="eastAsia" w:ascii="黑体" w:hAnsi="黑体" w:eastAsia="黑体" w:cs="宋体"/>
                <w:color w:val="000000"/>
                <w:kern w:val="0"/>
                <w:sz w:val="20"/>
                <w:szCs w:val="20"/>
              </w:rPr>
              <w:t>前列腺癌的诊断及鉴别诊断。</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Layout w:type="fixed"/>
          <w:tblCellMar>
            <w:top w:w="0" w:type="dxa"/>
            <w:left w:w="108" w:type="dxa"/>
            <w:bottom w:w="0" w:type="dxa"/>
            <w:right w:w="108" w:type="dxa"/>
          </w:tblCellMar>
        </w:tblPrEx>
        <w:trPr>
          <w:trHeight w:val="480" w:hRule="atLeast"/>
        </w:trPr>
        <w:tc>
          <w:tcPr>
            <w:tcW w:w="2461" w:type="dxa"/>
            <w:gridSpan w:val="2"/>
            <w:tcBorders>
              <w:top w:val="single" w:color="auto" w:sz="4" w:space="0"/>
              <w:bottom w:val="single" w:color="auto" w:sz="4" w:space="0"/>
              <w:right w:val="single" w:color="auto" w:sz="4" w:space="0"/>
            </w:tcBorders>
            <w:shd w:val="clear" w:color="auto" w:fill="auto"/>
            <w:vAlign w:val="center"/>
          </w:tcPr>
          <w:p>
            <w:pPr>
              <w:widowControl/>
              <w:jc w:val="left"/>
              <w:rPr>
                <w:rFonts w:ascii="黑体" w:hAnsi="黑体" w:eastAsia="黑体" w:cs="宋体"/>
                <w:color w:val="000000"/>
                <w:kern w:val="0"/>
                <w:sz w:val="20"/>
                <w:szCs w:val="20"/>
              </w:rPr>
            </w:pPr>
            <w:r>
              <w:rPr>
                <w:rFonts w:hint="eastAsia" w:ascii="黑体" w:hAnsi="黑体" w:eastAsia="黑体" w:cs="宋体"/>
                <w:color w:val="000000"/>
                <w:kern w:val="0"/>
                <w:sz w:val="20"/>
                <w:szCs w:val="20"/>
              </w:rPr>
              <w:t>糖类抗原测定CA19-9</w:t>
            </w:r>
          </w:p>
        </w:tc>
        <w:tc>
          <w:tcPr>
            <w:tcW w:w="640"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color w:val="000000"/>
                <w:kern w:val="0"/>
                <w:sz w:val="20"/>
                <w:szCs w:val="20"/>
              </w:rPr>
            </w:pPr>
            <w:r>
              <w:rPr>
                <w:rFonts w:hint="eastAsia" w:ascii="黑体" w:hAnsi="黑体" w:eastAsia="黑体" w:cs="宋体"/>
                <w:color w:val="000000"/>
                <w:kern w:val="0"/>
                <w:sz w:val="20"/>
                <w:szCs w:val="20"/>
              </w:rPr>
              <w:t>●</w:t>
            </w:r>
          </w:p>
        </w:tc>
        <w:tc>
          <w:tcPr>
            <w:tcW w:w="640"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color w:val="000000"/>
                <w:kern w:val="0"/>
                <w:sz w:val="20"/>
                <w:szCs w:val="20"/>
              </w:rPr>
            </w:pPr>
            <w:r>
              <w:rPr>
                <w:rFonts w:hint="eastAsia" w:ascii="黑体" w:hAnsi="黑体" w:eastAsia="黑体" w:cs="宋体"/>
                <w:color w:val="000000"/>
                <w:kern w:val="0"/>
                <w:sz w:val="20"/>
                <w:szCs w:val="20"/>
              </w:rPr>
              <w:t>●</w:t>
            </w:r>
          </w:p>
        </w:tc>
        <w:tc>
          <w:tcPr>
            <w:tcW w:w="640"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color w:val="000000"/>
                <w:kern w:val="0"/>
                <w:sz w:val="20"/>
                <w:szCs w:val="20"/>
              </w:rPr>
            </w:pPr>
            <w:r>
              <w:rPr>
                <w:rFonts w:hint="eastAsia" w:ascii="黑体" w:hAnsi="黑体" w:eastAsia="黑体" w:cs="宋体"/>
                <w:color w:val="000000"/>
                <w:kern w:val="0"/>
                <w:sz w:val="20"/>
                <w:szCs w:val="20"/>
              </w:rPr>
              <w:t>●</w:t>
            </w:r>
          </w:p>
        </w:tc>
        <w:tc>
          <w:tcPr>
            <w:tcW w:w="5820" w:type="dxa"/>
            <w:tcBorders>
              <w:top w:val="nil"/>
              <w:left w:val="nil"/>
              <w:bottom w:val="single" w:color="auto" w:sz="4" w:space="0"/>
            </w:tcBorders>
            <w:shd w:val="clear" w:color="auto" w:fill="auto"/>
            <w:vAlign w:val="center"/>
          </w:tcPr>
          <w:p>
            <w:pPr>
              <w:widowControl/>
              <w:jc w:val="left"/>
              <w:rPr>
                <w:rFonts w:ascii="黑体" w:hAnsi="黑体" w:eastAsia="黑体" w:cs="宋体"/>
                <w:color w:val="000000"/>
                <w:kern w:val="0"/>
                <w:sz w:val="20"/>
                <w:szCs w:val="20"/>
              </w:rPr>
            </w:pPr>
            <w:r>
              <w:rPr>
                <w:rFonts w:hint="eastAsia" w:ascii="黑体" w:hAnsi="黑体" w:eastAsia="黑体" w:cs="宋体"/>
                <w:color w:val="000000"/>
                <w:kern w:val="0"/>
                <w:sz w:val="20"/>
                <w:szCs w:val="20"/>
              </w:rPr>
              <w:t>胰腺癌、胆道恶性肿瘤的诊断及肠胃道肿瘤诊断和治疗监测 ；在卵巢癌、乳腺癌也有一定阳性率。</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Layout w:type="fixed"/>
          <w:tblCellMar>
            <w:top w:w="0" w:type="dxa"/>
            <w:left w:w="108" w:type="dxa"/>
            <w:bottom w:w="0" w:type="dxa"/>
            <w:right w:w="108" w:type="dxa"/>
          </w:tblCellMar>
        </w:tblPrEx>
        <w:trPr>
          <w:trHeight w:val="270" w:hRule="atLeast"/>
        </w:trPr>
        <w:tc>
          <w:tcPr>
            <w:tcW w:w="2461" w:type="dxa"/>
            <w:gridSpan w:val="2"/>
            <w:tcBorders>
              <w:top w:val="single" w:color="auto" w:sz="4" w:space="0"/>
              <w:bottom w:val="single" w:color="auto" w:sz="4" w:space="0"/>
              <w:right w:val="single" w:color="auto" w:sz="4" w:space="0"/>
            </w:tcBorders>
            <w:shd w:val="clear" w:color="000000" w:fill="C0C0C0"/>
            <w:vAlign w:val="center"/>
          </w:tcPr>
          <w:p>
            <w:pPr>
              <w:widowControl/>
              <w:jc w:val="left"/>
              <w:rPr>
                <w:rFonts w:ascii="黑体" w:hAnsi="黑体" w:eastAsia="黑体" w:cs="宋体"/>
                <w:b/>
                <w:bCs/>
                <w:color w:val="000000"/>
                <w:kern w:val="0"/>
                <w:sz w:val="20"/>
                <w:szCs w:val="20"/>
              </w:rPr>
            </w:pPr>
            <w:r>
              <w:rPr>
                <w:rFonts w:hint="eastAsia" w:ascii="黑体" w:hAnsi="黑体" w:eastAsia="黑体" w:cs="宋体"/>
                <w:b/>
                <w:bCs/>
                <w:color w:val="000000"/>
                <w:kern w:val="0"/>
                <w:sz w:val="20"/>
                <w:szCs w:val="20"/>
              </w:rPr>
              <w:t>内分泌疾病检测系列</w:t>
            </w:r>
          </w:p>
        </w:tc>
        <w:tc>
          <w:tcPr>
            <w:tcW w:w="640" w:type="dxa"/>
            <w:tcBorders>
              <w:top w:val="nil"/>
              <w:left w:val="nil"/>
              <w:bottom w:val="single" w:color="auto" w:sz="4" w:space="0"/>
              <w:right w:val="single" w:color="auto" w:sz="4" w:space="0"/>
            </w:tcBorders>
            <w:shd w:val="clear" w:color="000000" w:fill="C0C0C0"/>
            <w:vAlign w:val="center"/>
          </w:tcPr>
          <w:p>
            <w:pPr>
              <w:widowControl/>
              <w:jc w:val="center"/>
              <w:rPr>
                <w:rFonts w:ascii="黑体" w:hAnsi="黑体" w:eastAsia="黑体" w:cs="宋体"/>
                <w:color w:val="000000"/>
                <w:kern w:val="0"/>
                <w:sz w:val="20"/>
                <w:szCs w:val="20"/>
              </w:rPr>
            </w:pPr>
            <w:r>
              <w:rPr>
                <w:rFonts w:hint="eastAsia" w:ascii="黑体" w:hAnsi="黑体" w:eastAsia="黑体" w:cs="宋体"/>
                <w:color w:val="000000"/>
                <w:kern w:val="0"/>
                <w:sz w:val="20"/>
                <w:szCs w:val="20"/>
              </w:rPr>
              <w:t>　</w:t>
            </w:r>
          </w:p>
        </w:tc>
        <w:tc>
          <w:tcPr>
            <w:tcW w:w="640" w:type="dxa"/>
            <w:tcBorders>
              <w:top w:val="nil"/>
              <w:left w:val="nil"/>
              <w:bottom w:val="single" w:color="auto" w:sz="4" w:space="0"/>
              <w:right w:val="single" w:color="auto" w:sz="4" w:space="0"/>
            </w:tcBorders>
            <w:shd w:val="clear" w:color="000000" w:fill="C0C0C0"/>
            <w:vAlign w:val="center"/>
          </w:tcPr>
          <w:p>
            <w:pPr>
              <w:widowControl/>
              <w:jc w:val="center"/>
              <w:rPr>
                <w:rFonts w:ascii="黑体" w:hAnsi="黑体" w:eastAsia="黑体" w:cs="宋体"/>
                <w:color w:val="000000"/>
                <w:kern w:val="0"/>
                <w:sz w:val="20"/>
                <w:szCs w:val="20"/>
              </w:rPr>
            </w:pPr>
            <w:r>
              <w:rPr>
                <w:rFonts w:hint="eastAsia" w:ascii="黑体" w:hAnsi="黑体" w:eastAsia="黑体" w:cs="宋体"/>
                <w:color w:val="000000"/>
                <w:kern w:val="0"/>
                <w:sz w:val="20"/>
                <w:szCs w:val="20"/>
              </w:rPr>
              <w:t>　</w:t>
            </w:r>
          </w:p>
        </w:tc>
        <w:tc>
          <w:tcPr>
            <w:tcW w:w="640" w:type="dxa"/>
            <w:tcBorders>
              <w:top w:val="nil"/>
              <w:left w:val="nil"/>
              <w:bottom w:val="single" w:color="auto" w:sz="4" w:space="0"/>
              <w:right w:val="single" w:color="auto" w:sz="4" w:space="0"/>
            </w:tcBorders>
            <w:shd w:val="clear" w:color="000000" w:fill="C0C0C0"/>
            <w:vAlign w:val="center"/>
          </w:tcPr>
          <w:p>
            <w:pPr>
              <w:widowControl/>
              <w:jc w:val="center"/>
              <w:rPr>
                <w:rFonts w:ascii="黑体" w:hAnsi="黑体" w:eastAsia="黑体" w:cs="宋体"/>
                <w:color w:val="000000"/>
                <w:kern w:val="0"/>
                <w:sz w:val="20"/>
                <w:szCs w:val="20"/>
              </w:rPr>
            </w:pPr>
            <w:r>
              <w:rPr>
                <w:rFonts w:hint="eastAsia" w:ascii="黑体" w:hAnsi="黑体" w:eastAsia="黑体" w:cs="宋体"/>
                <w:color w:val="000000"/>
                <w:kern w:val="0"/>
                <w:sz w:val="20"/>
                <w:szCs w:val="20"/>
              </w:rPr>
              <w:t>　</w:t>
            </w:r>
          </w:p>
        </w:tc>
        <w:tc>
          <w:tcPr>
            <w:tcW w:w="5820" w:type="dxa"/>
            <w:tcBorders>
              <w:top w:val="nil"/>
              <w:left w:val="nil"/>
              <w:bottom w:val="single" w:color="auto" w:sz="4" w:space="0"/>
            </w:tcBorders>
            <w:shd w:val="clear" w:color="000000" w:fill="C0C0C0"/>
            <w:vAlign w:val="center"/>
          </w:tcPr>
          <w:p>
            <w:pPr>
              <w:widowControl/>
              <w:jc w:val="left"/>
              <w:rPr>
                <w:rFonts w:ascii="黑体" w:hAnsi="黑体" w:eastAsia="黑体" w:cs="宋体"/>
                <w:color w:val="000000"/>
                <w:kern w:val="0"/>
                <w:sz w:val="20"/>
                <w:szCs w:val="20"/>
              </w:rPr>
            </w:pPr>
            <w:r>
              <w:rPr>
                <w:rFonts w:hint="eastAsia" w:ascii="黑体" w:hAnsi="黑体" w:eastAsia="黑体" w:cs="宋体"/>
                <w:color w:val="000000"/>
                <w:kern w:val="0"/>
                <w:sz w:val="20"/>
                <w:szCs w:val="20"/>
              </w:rPr>
              <w:t>　</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Layout w:type="fixed"/>
          <w:tblCellMar>
            <w:top w:w="0" w:type="dxa"/>
            <w:left w:w="108" w:type="dxa"/>
            <w:bottom w:w="0" w:type="dxa"/>
            <w:right w:w="108" w:type="dxa"/>
          </w:tblCellMar>
        </w:tblPrEx>
        <w:trPr>
          <w:trHeight w:val="522" w:hRule="atLeast"/>
        </w:trPr>
        <w:tc>
          <w:tcPr>
            <w:tcW w:w="861" w:type="dxa"/>
            <w:tcBorders>
              <w:top w:val="nil"/>
              <w:bottom w:val="single" w:color="auto" w:sz="4" w:space="0"/>
              <w:right w:val="single" w:color="auto" w:sz="4" w:space="0"/>
            </w:tcBorders>
            <w:shd w:val="clear" w:color="auto" w:fill="auto"/>
            <w:vAlign w:val="center"/>
          </w:tcPr>
          <w:p>
            <w:pPr>
              <w:widowControl/>
              <w:jc w:val="left"/>
              <w:rPr>
                <w:rFonts w:ascii="黑体" w:hAnsi="黑体" w:eastAsia="黑体" w:cs="宋体"/>
                <w:kern w:val="0"/>
                <w:sz w:val="20"/>
                <w:szCs w:val="20"/>
              </w:rPr>
            </w:pPr>
            <w:r>
              <w:rPr>
                <w:rFonts w:hint="eastAsia" w:ascii="黑体" w:hAnsi="黑体" w:eastAsia="黑体" w:cs="宋体"/>
                <w:kern w:val="0"/>
                <w:sz w:val="20"/>
                <w:szCs w:val="20"/>
              </w:rPr>
              <w:t>糖尿病</w:t>
            </w:r>
          </w:p>
        </w:tc>
        <w:tc>
          <w:tcPr>
            <w:tcW w:w="1600" w:type="dxa"/>
            <w:tcBorders>
              <w:top w:val="nil"/>
              <w:left w:val="nil"/>
              <w:bottom w:val="single" w:color="auto" w:sz="4" w:space="0"/>
              <w:right w:val="single" w:color="auto" w:sz="4" w:space="0"/>
            </w:tcBorders>
            <w:shd w:val="clear" w:color="auto" w:fill="auto"/>
            <w:vAlign w:val="center"/>
          </w:tcPr>
          <w:p>
            <w:pPr>
              <w:widowControl/>
              <w:jc w:val="left"/>
              <w:rPr>
                <w:rFonts w:ascii="黑体" w:hAnsi="黑体" w:eastAsia="黑体" w:cs="宋体"/>
                <w:kern w:val="0"/>
                <w:sz w:val="20"/>
                <w:szCs w:val="20"/>
              </w:rPr>
            </w:pPr>
            <w:r>
              <w:rPr>
                <w:rFonts w:hint="eastAsia" w:ascii="黑体" w:hAnsi="黑体" w:eastAsia="黑体" w:cs="宋体"/>
                <w:kern w:val="0"/>
                <w:sz w:val="20"/>
                <w:szCs w:val="20"/>
              </w:rPr>
              <w:t>空腹葡萄糖测定(GLU)</w:t>
            </w:r>
          </w:p>
        </w:tc>
        <w:tc>
          <w:tcPr>
            <w:tcW w:w="640"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20"/>
                <w:szCs w:val="20"/>
              </w:rPr>
            </w:pPr>
            <w:r>
              <w:rPr>
                <w:rFonts w:hint="eastAsia" w:ascii="黑体" w:hAnsi="黑体" w:eastAsia="黑体" w:cs="宋体"/>
                <w:kern w:val="0"/>
                <w:sz w:val="20"/>
                <w:szCs w:val="20"/>
              </w:rPr>
              <w:t>●</w:t>
            </w:r>
          </w:p>
        </w:tc>
        <w:tc>
          <w:tcPr>
            <w:tcW w:w="640"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20"/>
                <w:szCs w:val="20"/>
              </w:rPr>
            </w:pPr>
            <w:r>
              <w:rPr>
                <w:rFonts w:hint="eastAsia" w:ascii="黑体" w:hAnsi="黑体" w:eastAsia="黑体" w:cs="宋体"/>
                <w:kern w:val="0"/>
                <w:sz w:val="20"/>
                <w:szCs w:val="20"/>
              </w:rPr>
              <w:t>●</w:t>
            </w:r>
          </w:p>
        </w:tc>
        <w:tc>
          <w:tcPr>
            <w:tcW w:w="640"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20"/>
                <w:szCs w:val="20"/>
              </w:rPr>
            </w:pPr>
            <w:r>
              <w:rPr>
                <w:rFonts w:hint="eastAsia" w:ascii="黑体" w:hAnsi="黑体" w:eastAsia="黑体" w:cs="宋体"/>
                <w:kern w:val="0"/>
                <w:sz w:val="20"/>
                <w:szCs w:val="20"/>
              </w:rPr>
              <w:t>●</w:t>
            </w:r>
          </w:p>
        </w:tc>
        <w:tc>
          <w:tcPr>
            <w:tcW w:w="5820" w:type="dxa"/>
            <w:tcBorders>
              <w:top w:val="nil"/>
              <w:left w:val="nil"/>
              <w:bottom w:val="single" w:color="auto" w:sz="4" w:space="0"/>
            </w:tcBorders>
            <w:shd w:val="clear" w:color="auto" w:fill="auto"/>
            <w:vAlign w:val="center"/>
          </w:tcPr>
          <w:p>
            <w:pPr>
              <w:widowControl/>
              <w:jc w:val="left"/>
              <w:rPr>
                <w:rFonts w:ascii="黑体" w:hAnsi="黑体" w:eastAsia="黑体" w:cs="宋体"/>
                <w:kern w:val="0"/>
                <w:sz w:val="20"/>
                <w:szCs w:val="20"/>
              </w:rPr>
            </w:pPr>
            <w:r>
              <w:rPr>
                <w:rFonts w:hint="eastAsia" w:ascii="黑体" w:hAnsi="黑体" w:eastAsia="黑体" w:cs="宋体"/>
                <w:kern w:val="0"/>
                <w:sz w:val="20"/>
                <w:szCs w:val="20"/>
              </w:rPr>
              <w:t>糖尿病诊断及治疗检测。</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Layout w:type="fixed"/>
          <w:tblCellMar>
            <w:top w:w="0" w:type="dxa"/>
            <w:left w:w="108" w:type="dxa"/>
            <w:bottom w:w="0" w:type="dxa"/>
            <w:right w:w="108" w:type="dxa"/>
          </w:tblCellMar>
        </w:tblPrEx>
        <w:trPr>
          <w:trHeight w:val="5922" w:hRule="atLeast"/>
        </w:trPr>
        <w:tc>
          <w:tcPr>
            <w:tcW w:w="2461" w:type="dxa"/>
            <w:gridSpan w:val="2"/>
            <w:tcBorders>
              <w:top w:val="single" w:color="auto" w:sz="4" w:space="0"/>
              <w:bottom w:val="single" w:color="auto" w:sz="4" w:space="0"/>
              <w:right w:val="single" w:color="auto" w:sz="4" w:space="0"/>
            </w:tcBorders>
            <w:shd w:val="clear" w:color="auto" w:fill="auto"/>
            <w:vAlign w:val="center"/>
          </w:tcPr>
          <w:p>
            <w:pPr>
              <w:widowControl/>
              <w:jc w:val="left"/>
              <w:rPr>
                <w:rFonts w:ascii="黑体" w:hAnsi="黑体" w:eastAsia="黑体" w:cs="宋体"/>
                <w:color w:val="FF0000"/>
                <w:kern w:val="0"/>
                <w:sz w:val="20"/>
                <w:szCs w:val="20"/>
              </w:rPr>
            </w:pPr>
            <w:r>
              <w:rPr>
                <w:rFonts w:hint="eastAsia" w:ascii="黑体" w:hAnsi="黑体" w:eastAsia="黑体" w:cs="宋体"/>
                <w:color w:val="FF0000"/>
                <w:kern w:val="0"/>
                <w:sz w:val="20"/>
                <w:szCs w:val="20"/>
              </w:rPr>
              <w:t>胃泌素G-17</w:t>
            </w:r>
          </w:p>
        </w:tc>
        <w:tc>
          <w:tcPr>
            <w:tcW w:w="640"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color w:val="FF0000"/>
                <w:kern w:val="0"/>
                <w:sz w:val="20"/>
                <w:szCs w:val="20"/>
              </w:rPr>
            </w:pPr>
            <w:r>
              <w:rPr>
                <w:rFonts w:hint="eastAsia" w:ascii="黑体" w:hAnsi="黑体" w:eastAsia="黑体" w:cs="宋体"/>
                <w:color w:val="FF0000"/>
                <w:kern w:val="0"/>
                <w:sz w:val="20"/>
                <w:szCs w:val="20"/>
              </w:rPr>
              <w:t>●</w:t>
            </w:r>
          </w:p>
        </w:tc>
        <w:tc>
          <w:tcPr>
            <w:tcW w:w="640"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color w:val="FF0000"/>
                <w:kern w:val="0"/>
                <w:sz w:val="20"/>
                <w:szCs w:val="20"/>
              </w:rPr>
            </w:pPr>
            <w:r>
              <w:rPr>
                <w:rFonts w:hint="eastAsia" w:ascii="黑体" w:hAnsi="黑体" w:eastAsia="黑体" w:cs="宋体"/>
                <w:color w:val="FF0000"/>
                <w:kern w:val="0"/>
                <w:sz w:val="20"/>
                <w:szCs w:val="20"/>
              </w:rPr>
              <w:t>●</w:t>
            </w:r>
          </w:p>
        </w:tc>
        <w:tc>
          <w:tcPr>
            <w:tcW w:w="640"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color w:val="FF0000"/>
                <w:kern w:val="0"/>
                <w:sz w:val="20"/>
                <w:szCs w:val="20"/>
              </w:rPr>
            </w:pPr>
            <w:r>
              <w:rPr>
                <w:rFonts w:hint="eastAsia" w:ascii="黑体" w:hAnsi="黑体" w:eastAsia="黑体" w:cs="宋体"/>
                <w:color w:val="FF0000"/>
                <w:kern w:val="0"/>
                <w:sz w:val="20"/>
                <w:szCs w:val="20"/>
              </w:rPr>
              <w:t>●</w:t>
            </w:r>
          </w:p>
        </w:tc>
        <w:tc>
          <w:tcPr>
            <w:tcW w:w="5820" w:type="dxa"/>
            <w:tcBorders>
              <w:top w:val="nil"/>
              <w:left w:val="nil"/>
              <w:bottom w:val="single" w:color="auto" w:sz="4" w:space="0"/>
            </w:tcBorders>
            <w:shd w:val="clear" w:color="auto" w:fill="auto"/>
            <w:vAlign w:val="center"/>
          </w:tcPr>
          <w:p>
            <w:pPr>
              <w:widowControl/>
              <w:jc w:val="left"/>
              <w:rPr>
                <w:rFonts w:ascii="黑体" w:hAnsi="黑体" w:eastAsia="黑体" w:cs="宋体"/>
                <w:color w:val="FF0000"/>
                <w:kern w:val="0"/>
                <w:sz w:val="20"/>
                <w:szCs w:val="20"/>
              </w:rPr>
            </w:pPr>
            <w:r>
              <w:rPr>
                <w:rFonts w:hint="eastAsia" w:ascii="黑体" w:hAnsi="黑体" w:eastAsia="黑体" w:cs="宋体"/>
                <w:color w:val="FF0000"/>
                <w:kern w:val="0"/>
                <w:sz w:val="20"/>
                <w:szCs w:val="20"/>
              </w:rPr>
              <w:t>可以准确评估胃粘膜健康状况、胃酸水平及进一步提示胃癌风险。异常结果：</w:t>
            </w:r>
            <w:r>
              <w:rPr>
                <w:rFonts w:hint="eastAsia" w:ascii="黑体" w:hAnsi="黑体" w:eastAsia="黑体" w:cs="宋体"/>
                <w:color w:val="FF0000"/>
                <w:kern w:val="0"/>
                <w:sz w:val="20"/>
                <w:szCs w:val="20"/>
              </w:rPr>
              <w:br w:type="textWrapping"/>
            </w:r>
            <w:r>
              <w:rPr>
                <w:rFonts w:hint="eastAsia" w:ascii="黑体" w:hAnsi="黑体" w:eastAsia="黑体" w:cs="宋体"/>
                <w:color w:val="FF0000"/>
                <w:kern w:val="0"/>
                <w:sz w:val="20"/>
                <w:szCs w:val="20"/>
              </w:rPr>
              <w:t>(1)胃泌素瘤(Zollinger-Ellison syndrome，卓-艾综合征)：卓-艾综合征是胰腺最常见的内分泌肿瘤，是胰岛中分泌胃泌素的D细胞增生而发病，分泌大量胃泌素，使壁细胞极度增加。其次，发生在胃、十二指肠。卓-艾综合征具下列三联症：高胃泌素血症，可高达l000pg/ml;高胃酸排出量，基础胃酸&gt;15mmol/h，可达正常人的6倍;伴有反复发作的胃、十二指肠多处溃疡，且多为难治性溃疡，伴慢性腹泻。　</w:t>
            </w:r>
            <w:r>
              <w:rPr>
                <w:rFonts w:hint="eastAsia" w:ascii="黑体" w:hAnsi="黑体" w:eastAsia="黑体" w:cs="宋体"/>
                <w:color w:val="FF0000"/>
                <w:kern w:val="0"/>
                <w:sz w:val="20"/>
                <w:szCs w:val="20"/>
              </w:rPr>
              <w:br w:type="textWrapping"/>
            </w:r>
            <w:r>
              <w:rPr>
                <w:rFonts w:hint="eastAsia" w:ascii="黑体" w:hAnsi="黑体" w:eastAsia="黑体" w:cs="宋体"/>
                <w:color w:val="FF0000"/>
                <w:kern w:val="0"/>
                <w:sz w:val="20"/>
                <w:szCs w:val="20"/>
              </w:rPr>
              <w:t>(2)胃与十二指肠溃疡：胃泌素在胃十二指肠溃疡的发病机制中起到基本或重要的作用，基础状态下血清胃泌素偏高，平均水平大约为160pg/ml，与正常范围可有一定重叠;但在进食及其他刺激胃泌素分泌的情况下则明显增高，高胃泌素是胃溃疡的重要发病机制之一。　</w:t>
            </w:r>
            <w:r>
              <w:rPr>
                <w:rFonts w:hint="eastAsia" w:ascii="黑体" w:hAnsi="黑体" w:eastAsia="黑体" w:cs="宋体"/>
                <w:color w:val="FF0000"/>
                <w:kern w:val="0"/>
                <w:sz w:val="20"/>
                <w:szCs w:val="20"/>
              </w:rPr>
              <w:br w:type="textWrapping"/>
            </w:r>
            <w:r>
              <w:rPr>
                <w:rFonts w:hint="eastAsia" w:ascii="黑体" w:hAnsi="黑体" w:eastAsia="黑体" w:cs="宋体"/>
                <w:color w:val="FF0000"/>
                <w:kern w:val="0"/>
                <w:sz w:val="20"/>
                <w:szCs w:val="20"/>
              </w:rPr>
              <w:t>(3)慢性萎缩性胃炎：分A、B型。A型为一种自身免疫性疾病，壁细胞抗体阳性，壁细胞萎缩，胃酸分泌减少，刺激胃窦部G细胞分泌胃泌素增加;B型为非自身免疫性疾病，壁细胞抗体阴性，病变部位主要在胃窦部，幽门腺G细胞受损，胃泌素分泌减少。幽门螺杆菌性胃炎血清胃泌素增加。幽门螺杆菌刺激胃泌素的机制有很多因素，如炎症细胞因子的刺激增加，或由于幽门螺杆菌产生的尿素酶使局部pH值升高等，均可使胃窦部胃泌素释放增加，反之根治或抑制幽门螺杆菌感染后胃泌素释放均有减少。　</w:t>
            </w:r>
            <w:r>
              <w:rPr>
                <w:rFonts w:hint="eastAsia" w:ascii="黑体" w:hAnsi="黑体" w:eastAsia="黑体" w:cs="宋体"/>
                <w:color w:val="FF0000"/>
                <w:kern w:val="0"/>
                <w:sz w:val="20"/>
                <w:szCs w:val="20"/>
              </w:rPr>
              <w:br w:type="textWrapping"/>
            </w:r>
            <w:r>
              <w:rPr>
                <w:rFonts w:hint="eastAsia" w:ascii="黑体" w:hAnsi="黑体" w:eastAsia="黑体" w:cs="宋体"/>
                <w:color w:val="FF0000"/>
                <w:kern w:val="0"/>
                <w:sz w:val="20"/>
                <w:szCs w:val="20"/>
              </w:rPr>
              <w:t>(4)胃窦粘膜增生：胃次全切除术后残留胃窦及慢性肾功能衰竭均可有血清胃泌素增高。</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Layout w:type="fixed"/>
          <w:tblCellMar>
            <w:top w:w="0" w:type="dxa"/>
            <w:left w:w="108" w:type="dxa"/>
            <w:bottom w:w="0" w:type="dxa"/>
            <w:right w:w="108" w:type="dxa"/>
          </w:tblCellMar>
        </w:tblPrEx>
        <w:trPr>
          <w:trHeight w:val="762" w:hRule="atLeast"/>
        </w:trPr>
        <w:tc>
          <w:tcPr>
            <w:tcW w:w="861" w:type="dxa"/>
            <w:vMerge w:val="restart"/>
            <w:tcBorders>
              <w:top w:val="nil"/>
              <w:bottom w:val="single" w:color="auto" w:sz="4" w:space="0"/>
              <w:right w:val="single" w:color="auto" w:sz="4" w:space="0"/>
            </w:tcBorders>
            <w:shd w:val="clear" w:color="auto" w:fill="auto"/>
            <w:vAlign w:val="center"/>
          </w:tcPr>
          <w:p>
            <w:pPr>
              <w:widowControl/>
              <w:jc w:val="left"/>
              <w:rPr>
                <w:rFonts w:ascii="黑体" w:hAnsi="黑体" w:eastAsia="黑体" w:cs="宋体"/>
                <w:color w:val="000000"/>
                <w:kern w:val="0"/>
                <w:sz w:val="20"/>
                <w:szCs w:val="20"/>
              </w:rPr>
            </w:pPr>
            <w:r>
              <w:rPr>
                <w:rFonts w:hint="eastAsia" w:ascii="黑体" w:hAnsi="黑体" w:eastAsia="黑体" w:cs="宋体"/>
                <w:color w:val="000000"/>
                <w:kern w:val="0"/>
                <w:sz w:val="20"/>
                <w:szCs w:val="20"/>
              </w:rPr>
              <w:t>甲状腺功能测定</w:t>
            </w:r>
          </w:p>
        </w:tc>
        <w:tc>
          <w:tcPr>
            <w:tcW w:w="1600" w:type="dxa"/>
            <w:tcBorders>
              <w:top w:val="nil"/>
              <w:left w:val="nil"/>
              <w:bottom w:val="single" w:color="auto" w:sz="4" w:space="0"/>
              <w:right w:val="single" w:color="auto" w:sz="4" w:space="0"/>
            </w:tcBorders>
            <w:shd w:val="clear" w:color="auto" w:fill="auto"/>
            <w:vAlign w:val="center"/>
          </w:tcPr>
          <w:p>
            <w:pPr>
              <w:widowControl/>
              <w:jc w:val="left"/>
              <w:rPr>
                <w:rFonts w:ascii="黑体" w:hAnsi="黑体" w:eastAsia="黑体" w:cs="宋体"/>
                <w:color w:val="000000"/>
                <w:kern w:val="0"/>
                <w:sz w:val="20"/>
                <w:szCs w:val="20"/>
              </w:rPr>
            </w:pPr>
            <w:r>
              <w:rPr>
                <w:rFonts w:hint="eastAsia" w:ascii="黑体" w:hAnsi="黑体" w:eastAsia="黑体" w:cs="宋体"/>
                <w:color w:val="000000"/>
                <w:kern w:val="0"/>
                <w:sz w:val="20"/>
                <w:szCs w:val="20"/>
              </w:rPr>
              <w:t>总三碘甲状腺原胺酸测定(T3)</w:t>
            </w:r>
          </w:p>
        </w:tc>
        <w:tc>
          <w:tcPr>
            <w:tcW w:w="640"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color w:val="000000"/>
                <w:kern w:val="0"/>
                <w:sz w:val="20"/>
                <w:szCs w:val="20"/>
              </w:rPr>
            </w:pPr>
            <w:r>
              <w:rPr>
                <w:rFonts w:hint="eastAsia" w:ascii="黑体" w:hAnsi="黑体" w:eastAsia="黑体" w:cs="宋体"/>
                <w:color w:val="000000"/>
                <w:kern w:val="0"/>
                <w:sz w:val="20"/>
                <w:szCs w:val="20"/>
              </w:rPr>
              <w:t>●</w:t>
            </w:r>
          </w:p>
        </w:tc>
        <w:tc>
          <w:tcPr>
            <w:tcW w:w="640"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color w:val="000000"/>
                <w:kern w:val="0"/>
                <w:sz w:val="20"/>
                <w:szCs w:val="20"/>
              </w:rPr>
            </w:pPr>
            <w:r>
              <w:rPr>
                <w:rFonts w:hint="eastAsia" w:ascii="黑体" w:hAnsi="黑体" w:eastAsia="黑体" w:cs="宋体"/>
                <w:color w:val="000000"/>
                <w:kern w:val="0"/>
                <w:sz w:val="20"/>
                <w:szCs w:val="20"/>
              </w:rPr>
              <w:t>●</w:t>
            </w:r>
          </w:p>
        </w:tc>
        <w:tc>
          <w:tcPr>
            <w:tcW w:w="640"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color w:val="000000"/>
                <w:kern w:val="0"/>
                <w:sz w:val="20"/>
                <w:szCs w:val="20"/>
              </w:rPr>
            </w:pPr>
            <w:r>
              <w:rPr>
                <w:rFonts w:hint="eastAsia" w:ascii="黑体" w:hAnsi="黑体" w:eastAsia="黑体" w:cs="宋体"/>
                <w:color w:val="000000"/>
                <w:kern w:val="0"/>
                <w:sz w:val="20"/>
                <w:szCs w:val="20"/>
              </w:rPr>
              <w:t>●</w:t>
            </w:r>
          </w:p>
        </w:tc>
        <w:tc>
          <w:tcPr>
            <w:tcW w:w="5820" w:type="dxa"/>
            <w:vMerge w:val="restart"/>
            <w:tcBorders>
              <w:top w:val="nil"/>
              <w:left w:val="single" w:color="auto" w:sz="4" w:space="0"/>
              <w:bottom w:val="single" w:color="auto" w:sz="4" w:space="0"/>
            </w:tcBorders>
            <w:shd w:val="clear" w:color="auto" w:fill="auto"/>
            <w:vAlign w:val="center"/>
          </w:tcPr>
          <w:p>
            <w:pPr>
              <w:widowControl/>
              <w:jc w:val="left"/>
              <w:rPr>
                <w:rFonts w:ascii="黑体" w:hAnsi="黑体" w:eastAsia="黑体" w:cs="宋体"/>
                <w:color w:val="000000"/>
                <w:kern w:val="0"/>
                <w:sz w:val="20"/>
                <w:szCs w:val="20"/>
              </w:rPr>
            </w:pPr>
            <w:r>
              <w:rPr>
                <w:rFonts w:hint="eastAsia" w:ascii="黑体" w:hAnsi="黑体" w:eastAsia="黑体" w:cs="宋体"/>
                <w:color w:val="000000"/>
                <w:kern w:val="0"/>
                <w:sz w:val="20"/>
                <w:szCs w:val="20"/>
              </w:rPr>
              <w:t>判断甲状腺功能，受甲状腺结合蛋白影响较大。</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Layout w:type="fixed"/>
        </w:tblPrEx>
        <w:trPr>
          <w:trHeight w:val="600" w:hRule="atLeast"/>
        </w:trPr>
        <w:tc>
          <w:tcPr>
            <w:tcW w:w="861" w:type="dxa"/>
            <w:vMerge w:val="continue"/>
            <w:tcBorders>
              <w:top w:val="nil"/>
              <w:bottom w:val="single" w:color="auto" w:sz="4" w:space="0"/>
              <w:right w:val="single" w:color="auto" w:sz="4" w:space="0"/>
            </w:tcBorders>
            <w:vAlign w:val="center"/>
          </w:tcPr>
          <w:p>
            <w:pPr>
              <w:widowControl/>
              <w:jc w:val="left"/>
              <w:rPr>
                <w:rFonts w:ascii="黑体" w:hAnsi="黑体" w:eastAsia="黑体" w:cs="宋体"/>
                <w:color w:val="000000"/>
                <w:kern w:val="0"/>
                <w:sz w:val="20"/>
                <w:szCs w:val="20"/>
              </w:rPr>
            </w:pPr>
          </w:p>
        </w:tc>
        <w:tc>
          <w:tcPr>
            <w:tcW w:w="1600" w:type="dxa"/>
            <w:tcBorders>
              <w:top w:val="nil"/>
              <w:left w:val="nil"/>
              <w:bottom w:val="single" w:color="auto" w:sz="4" w:space="0"/>
              <w:right w:val="single" w:color="auto" w:sz="4" w:space="0"/>
            </w:tcBorders>
            <w:shd w:val="clear" w:color="auto" w:fill="auto"/>
            <w:vAlign w:val="center"/>
          </w:tcPr>
          <w:p>
            <w:pPr>
              <w:widowControl/>
              <w:jc w:val="left"/>
              <w:rPr>
                <w:rFonts w:ascii="黑体" w:hAnsi="黑体" w:eastAsia="黑体" w:cs="宋体"/>
                <w:color w:val="000000"/>
                <w:kern w:val="0"/>
                <w:sz w:val="20"/>
                <w:szCs w:val="20"/>
              </w:rPr>
            </w:pPr>
            <w:r>
              <w:rPr>
                <w:rFonts w:hint="eastAsia" w:ascii="黑体" w:hAnsi="黑体" w:eastAsia="黑体" w:cs="宋体"/>
                <w:color w:val="000000"/>
                <w:kern w:val="0"/>
                <w:sz w:val="20"/>
                <w:szCs w:val="20"/>
              </w:rPr>
              <w:t>总甲状腺素测定(T4)</w:t>
            </w:r>
          </w:p>
        </w:tc>
        <w:tc>
          <w:tcPr>
            <w:tcW w:w="640"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color w:val="000000"/>
                <w:kern w:val="0"/>
                <w:sz w:val="20"/>
                <w:szCs w:val="20"/>
              </w:rPr>
            </w:pPr>
            <w:r>
              <w:rPr>
                <w:rFonts w:hint="eastAsia" w:ascii="黑体" w:hAnsi="黑体" w:eastAsia="黑体" w:cs="宋体"/>
                <w:color w:val="000000"/>
                <w:kern w:val="0"/>
                <w:sz w:val="20"/>
                <w:szCs w:val="20"/>
              </w:rPr>
              <w:t>●</w:t>
            </w:r>
          </w:p>
        </w:tc>
        <w:tc>
          <w:tcPr>
            <w:tcW w:w="640"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color w:val="000000"/>
                <w:kern w:val="0"/>
                <w:sz w:val="20"/>
                <w:szCs w:val="20"/>
              </w:rPr>
            </w:pPr>
            <w:r>
              <w:rPr>
                <w:rFonts w:hint="eastAsia" w:ascii="黑体" w:hAnsi="黑体" w:eastAsia="黑体" w:cs="宋体"/>
                <w:color w:val="000000"/>
                <w:kern w:val="0"/>
                <w:sz w:val="20"/>
                <w:szCs w:val="20"/>
              </w:rPr>
              <w:t>●</w:t>
            </w:r>
          </w:p>
        </w:tc>
        <w:tc>
          <w:tcPr>
            <w:tcW w:w="640"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color w:val="000000"/>
                <w:kern w:val="0"/>
                <w:sz w:val="20"/>
                <w:szCs w:val="20"/>
              </w:rPr>
            </w:pPr>
            <w:r>
              <w:rPr>
                <w:rFonts w:hint="eastAsia" w:ascii="黑体" w:hAnsi="黑体" w:eastAsia="黑体" w:cs="宋体"/>
                <w:color w:val="000000"/>
                <w:kern w:val="0"/>
                <w:sz w:val="20"/>
                <w:szCs w:val="20"/>
              </w:rPr>
              <w:t>●</w:t>
            </w:r>
          </w:p>
        </w:tc>
        <w:tc>
          <w:tcPr>
            <w:tcW w:w="5820" w:type="dxa"/>
            <w:vMerge w:val="continue"/>
            <w:tcBorders>
              <w:top w:val="nil"/>
              <w:left w:val="single" w:color="auto" w:sz="4" w:space="0"/>
              <w:bottom w:val="single" w:color="auto" w:sz="4" w:space="0"/>
            </w:tcBorders>
            <w:vAlign w:val="center"/>
          </w:tcPr>
          <w:p>
            <w:pPr>
              <w:widowControl/>
              <w:jc w:val="left"/>
              <w:rPr>
                <w:rFonts w:ascii="黑体" w:hAnsi="黑体" w:eastAsia="黑体"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Layout w:type="fixed"/>
          <w:tblCellMar>
            <w:top w:w="0" w:type="dxa"/>
            <w:left w:w="108" w:type="dxa"/>
            <w:bottom w:w="0" w:type="dxa"/>
            <w:right w:w="108" w:type="dxa"/>
          </w:tblCellMar>
        </w:tblPrEx>
        <w:trPr>
          <w:trHeight w:val="840" w:hRule="atLeast"/>
        </w:trPr>
        <w:tc>
          <w:tcPr>
            <w:tcW w:w="861" w:type="dxa"/>
            <w:vMerge w:val="continue"/>
            <w:tcBorders>
              <w:top w:val="nil"/>
              <w:bottom w:val="single" w:color="auto" w:sz="4" w:space="0"/>
              <w:right w:val="single" w:color="auto" w:sz="4" w:space="0"/>
            </w:tcBorders>
            <w:vAlign w:val="center"/>
          </w:tcPr>
          <w:p>
            <w:pPr>
              <w:widowControl/>
              <w:jc w:val="left"/>
              <w:rPr>
                <w:rFonts w:ascii="黑体" w:hAnsi="黑体" w:eastAsia="黑体" w:cs="宋体"/>
                <w:color w:val="000000"/>
                <w:kern w:val="0"/>
                <w:sz w:val="20"/>
                <w:szCs w:val="20"/>
              </w:rPr>
            </w:pPr>
          </w:p>
        </w:tc>
        <w:tc>
          <w:tcPr>
            <w:tcW w:w="1600" w:type="dxa"/>
            <w:tcBorders>
              <w:top w:val="nil"/>
              <w:left w:val="nil"/>
              <w:bottom w:val="single" w:color="auto" w:sz="4" w:space="0"/>
              <w:right w:val="single" w:color="auto" w:sz="4" w:space="0"/>
            </w:tcBorders>
            <w:shd w:val="clear" w:color="auto" w:fill="auto"/>
            <w:vAlign w:val="center"/>
          </w:tcPr>
          <w:p>
            <w:pPr>
              <w:widowControl/>
              <w:jc w:val="left"/>
              <w:rPr>
                <w:rFonts w:ascii="黑体" w:hAnsi="黑体" w:eastAsia="黑体" w:cs="宋体"/>
                <w:color w:val="000000"/>
                <w:kern w:val="0"/>
                <w:sz w:val="20"/>
                <w:szCs w:val="20"/>
              </w:rPr>
            </w:pPr>
            <w:r>
              <w:rPr>
                <w:rFonts w:hint="eastAsia" w:ascii="黑体" w:hAnsi="黑体" w:eastAsia="黑体" w:cs="宋体"/>
                <w:color w:val="000000"/>
                <w:kern w:val="0"/>
                <w:sz w:val="20"/>
                <w:szCs w:val="20"/>
              </w:rPr>
              <w:t>血清促甲状腺激素测定(TSH)</w:t>
            </w:r>
          </w:p>
        </w:tc>
        <w:tc>
          <w:tcPr>
            <w:tcW w:w="640"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color w:val="000000"/>
                <w:kern w:val="0"/>
                <w:sz w:val="20"/>
                <w:szCs w:val="20"/>
              </w:rPr>
            </w:pPr>
            <w:r>
              <w:rPr>
                <w:rFonts w:hint="eastAsia" w:ascii="黑体" w:hAnsi="黑体" w:eastAsia="黑体" w:cs="宋体"/>
                <w:color w:val="000000"/>
                <w:kern w:val="0"/>
                <w:sz w:val="20"/>
                <w:szCs w:val="20"/>
              </w:rPr>
              <w:t>●</w:t>
            </w:r>
          </w:p>
        </w:tc>
        <w:tc>
          <w:tcPr>
            <w:tcW w:w="640"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color w:val="000000"/>
                <w:kern w:val="0"/>
                <w:sz w:val="20"/>
                <w:szCs w:val="20"/>
              </w:rPr>
            </w:pPr>
            <w:r>
              <w:rPr>
                <w:rFonts w:hint="eastAsia" w:ascii="黑体" w:hAnsi="黑体" w:eastAsia="黑体" w:cs="宋体"/>
                <w:color w:val="000000"/>
                <w:kern w:val="0"/>
                <w:sz w:val="20"/>
                <w:szCs w:val="20"/>
              </w:rPr>
              <w:t>●</w:t>
            </w:r>
          </w:p>
        </w:tc>
        <w:tc>
          <w:tcPr>
            <w:tcW w:w="640"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color w:val="000000"/>
                <w:kern w:val="0"/>
                <w:sz w:val="20"/>
                <w:szCs w:val="20"/>
              </w:rPr>
            </w:pPr>
            <w:r>
              <w:rPr>
                <w:rFonts w:hint="eastAsia" w:ascii="黑体" w:hAnsi="黑体" w:eastAsia="黑体" w:cs="宋体"/>
                <w:color w:val="000000"/>
                <w:kern w:val="0"/>
                <w:sz w:val="20"/>
                <w:szCs w:val="20"/>
              </w:rPr>
              <w:t>●</w:t>
            </w:r>
          </w:p>
        </w:tc>
        <w:tc>
          <w:tcPr>
            <w:tcW w:w="5820" w:type="dxa"/>
            <w:tcBorders>
              <w:top w:val="nil"/>
              <w:left w:val="nil"/>
              <w:bottom w:val="single" w:color="auto" w:sz="4" w:space="0"/>
            </w:tcBorders>
            <w:shd w:val="clear" w:color="auto" w:fill="auto"/>
            <w:vAlign w:val="center"/>
          </w:tcPr>
          <w:p>
            <w:pPr>
              <w:widowControl/>
              <w:jc w:val="left"/>
              <w:rPr>
                <w:rFonts w:ascii="黑体" w:hAnsi="黑体" w:eastAsia="黑体" w:cs="宋体"/>
                <w:color w:val="000000"/>
                <w:kern w:val="0"/>
                <w:sz w:val="20"/>
                <w:szCs w:val="20"/>
              </w:rPr>
            </w:pPr>
            <w:r>
              <w:rPr>
                <w:rFonts w:hint="eastAsia" w:ascii="黑体" w:hAnsi="黑体" w:eastAsia="黑体" w:cs="宋体"/>
                <w:color w:val="000000"/>
                <w:kern w:val="0"/>
                <w:sz w:val="20"/>
                <w:szCs w:val="20"/>
              </w:rPr>
              <w:t>主要用于原发/继发甲减及甲亢诊断。</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Layout w:type="fixed"/>
          <w:tblCellMar>
            <w:top w:w="0" w:type="dxa"/>
            <w:left w:w="108" w:type="dxa"/>
            <w:bottom w:w="0" w:type="dxa"/>
            <w:right w:w="108" w:type="dxa"/>
          </w:tblCellMar>
        </w:tblPrEx>
        <w:trPr>
          <w:trHeight w:val="270" w:hRule="atLeast"/>
        </w:trPr>
        <w:tc>
          <w:tcPr>
            <w:tcW w:w="2461" w:type="dxa"/>
            <w:gridSpan w:val="2"/>
            <w:tcBorders>
              <w:top w:val="single" w:color="auto" w:sz="4" w:space="0"/>
              <w:bottom w:val="single" w:color="auto" w:sz="4" w:space="0"/>
              <w:right w:val="single" w:color="auto" w:sz="4" w:space="0"/>
            </w:tcBorders>
            <w:shd w:val="clear" w:color="000000" w:fill="C0C0C0"/>
            <w:vAlign w:val="center"/>
          </w:tcPr>
          <w:p>
            <w:pPr>
              <w:widowControl/>
              <w:jc w:val="left"/>
              <w:rPr>
                <w:rFonts w:ascii="黑体" w:hAnsi="黑体" w:eastAsia="黑体" w:cs="宋体"/>
                <w:b/>
                <w:bCs/>
                <w:kern w:val="0"/>
                <w:sz w:val="20"/>
                <w:szCs w:val="20"/>
              </w:rPr>
            </w:pPr>
            <w:r>
              <w:rPr>
                <w:rFonts w:hint="eastAsia" w:ascii="黑体" w:hAnsi="黑体" w:eastAsia="黑体" w:cs="宋体"/>
                <w:b/>
                <w:bCs/>
                <w:kern w:val="0"/>
                <w:sz w:val="20"/>
                <w:szCs w:val="20"/>
              </w:rPr>
              <w:t>免疫系统与感染性疾病检测系列</w:t>
            </w:r>
          </w:p>
        </w:tc>
        <w:tc>
          <w:tcPr>
            <w:tcW w:w="640" w:type="dxa"/>
            <w:tcBorders>
              <w:top w:val="nil"/>
              <w:left w:val="nil"/>
              <w:bottom w:val="single" w:color="auto" w:sz="4" w:space="0"/>
              <w:right w:val="single" w:color="auto" w:sz="4" w:space="0"/>
            </w:tcBorders>
            <w:shd w:val="clear" w:color="000000" w:fill="C0C0C0"/>
            <w:vAlign w:val="center"/>
          </w:tcPr>
          <w:p>
            <w:pPr>
              <w:widowControl/>
              <w:jc w:val="center"/>
              <w:rPr>
                <w:rFonts w:ascii="黑体" w:hAnsi="黑体" w:eastAsia="黑体" w:cs="宋体"/>
                <w:color w:val="FF0000"/>
                <w:kern w:val="0"/>
                <w:sz w:val="20"/>
                <w:szCs w:val="20"/>
              </w:rPr>
            </w:pPr>
            <w:r>
              <w:rPr>
                <w:rFonts w:hint="eastAsia" w:ascii="黑体" w:hAnsi="黑体" w:eastAsia="黑体" w:cs="宋体"/>
                <w:color w:val="FF0000"/>
                <w:kern w:val="0"/>
                <w:sz w:val="20"/>
                <w:szCs w:val="20"/>
              </w:rPr>
              <w:t>　</w:t>
            </w:r>
          </w:p>
        </w:tc>
        <w:tc>
          <w:tcPr>
            <w:tcW w:w="640" w:type="dxa"/>
            <w:tcBorders>
              <w:top w:val="nil"/>
              <w:left w:val="nil"/>
              <w:bottom w:val="single" w:color="auto" w:sz="4" w:space="0"/>
              <w:right w:val="single" w:color="auto" w:sz="4" w:space="0"/>
            </w:tcBorders>
            <w:shd w:val="clear" w:color="000000" w:fill="C0C0C0"/>
            <w:vAlign w:val="center"/>
          </w:tcPr>
          <w:p>
            <w:pPr>
              <w:widowControl/>
              <w:jc w:val="center"/>
              <w:rPr>
                <w:rFonts w:ascii="黑体" w:hAnsi="黑体" w:eastAsia="黑体" w:cs="宋体"/>
                <w:color w:val="FF0000"/>
                <w:kern w:val="0"/>
                <w:sz w:val="20"/>
                <w:szCs w:val="20"/>
              </w:rPr>
            </w:pPr>
            <w:r>
              <w:rPr>
                <w:rFonts w:hint="eastAsia" w:ascii="黑体" w:hAnsi="黑体" w:eastAsia="黑体" w:cs="宋体"/>
                <w:color w:val="FF0000"/>
                <w:kern w:val="0"/>
                <w:sz w:val="20"/>
                <w:szCs w:val="20"/>
              </w:rPr>
              <w:t>　</w:t>
            </w:r>
          </w:p>
        </w:tc>
        <w:tc>
          <w:tcPr>
            <w:tcW w:w="640" w:type="dxa"/>
            <w:tcBorders>
              <w:top w:val="nil"/>
              <w:left w:val="nil"/>
              <w:bottom w:val="single" w:color="auto" w:sz="4" w:space="0"/>
              <w:right w:val="single" w:color="auto" w:sz="4" w:space="0"/>
            </w:tcBorders>
            <w:shd w:val="clear" w:color="000000" w:fill="C0C0C0"/>
            <w:vAlign w:val="center"/>
          </w:tcPr>
          <w:p>
            <w:pPr>
              <w:widowControl/>
              <w:jc w:val="center"/>
              <w:rPr>
                <w:rFonts w:ascii="黑体" w:hAnsi="黑体" w:eastAsia="黑体" w:cs="宋体"/>
                <w:color w:val="FF0000"/>
                <w:kern w:val="0"/>
                <w:sz w:val="20"/>
                <w:szCs w:val="20"/>
              </w:rPr>
            </w:pPr>
            <w:r>
              <w:rPr>
                <w:rFonts w:hint="eastAsia" w:ascii="黑体" w:hAnsi="黑体" w:eastAsia="黑体" w:cs="宋体"/>
                <w:color w:val="FF0000"/>
                <w:kern w:val="0"/>
                <w:sz w:val="20"/>
                <w:szCs w:val="20"/>
              </w:rPr>
              <w:t>　</w:t>
            </w:r>
          </w:p>
        </w:tc>
        <w:tc>
          <w:tcPr>
            <w:tcW w:w="5820" w:type="dxa"/>
            <w:tcBorders>
              <w:top w:val="nil"/>
              <w:left w:val="nil"/>
              <w:bottom w:val="single" w:color="auto" w:sz="4" w:space="0"/>
            </w:tcBorders>
            <w:shd w:val="clear" w:color="000000" w:fill="C0C0C0"/>
            <w:vAlign w:val="center"/>
          </w:tcPr>
          <w:p>
            <w:pPr>
              <w:widowControl/>
              <w:jc w:val="left"/>
              <w:rPr>
                <w:rFonts w:ascii="黑体" w:hAnsi="黑体" w:eastAsia="黑体" w:cs="宋体"/>
                <w:color w:val="FF0000"/>
                <w:kern w:val="0"/>
                <w:sz w:val="20"/>
                <w:szCs w:val="20"/>
              </w:rPr>
            </w:pPr>
            <w:r>
              <w:rPr>
                <w:rFonts w:hint="eastAsia" w:ascii="黑体" w:hAnsi="黑体" w:eastAsia="黑体" w:cs="宋体"/>
                <w:color w:val="FF0000"/>
                <w:kern w:val="0"/>
                <w:sz w:val="20"/>
                <w:szCs w:val="20"/>
              </w:rPr>
              <w:t>　</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Layout w:type="fixed"/>
          <w:tblCellMar>
            <w:top w:w="0" w:type="dxa"/>
            <w:left w:w="108" w:type="dxa"/>
            <w:bottom w:w="0" w:type="dxa"/>
            <w:right w:w="108" w:type="dxa"/>
          </w:tblCellMar>
        </w:tblPrEx>
        <w:trPr>
          <w:trHeight w:val="960" w:hRule="atLeast"/>
        </w:trPr>
        <w:tc>
          <w:tcPr>
            <w:tcW w:w="861" w:type="dxa"/>
            <w:tcBorders>
              <w:top w:val="nil"/>
              <w:bottom w:val="single" w:color="auto" w:sz="4" w:space="0"/>
              <w:right w:val="single" w:color="auto" w:sz="4" w:space="0"/>
            </w:tcBorders>
            <w:shd w:val="clear" w:color="auto" w:fill="auto"/>
            <w:vAlign w:val="center"/>
          </w:tcPr>
          <w:p>
            <w:pPr>
              <w:widowControl/>
              <w:jc w:val="left"/>
              <w:rPr>
                <w:rFonts w:ascii="黑体" w:hAnsi="黑体" w:eastAsia="黑体" w:cs="宋体"/>
                <w:kern w:val="0"/>
                <w:sz w:val="20"/>
                <w:szCs w:val="20"/>
              </w:rPr>
            </w:pPr>
            <w:r>
              <w:rPr>
                <w:rFonts w:hint="eastAsia" w:ascii="黑体" w:hAnsi="黑体" w:eastAsia="黑体" w:cs="宋体"/>
                <w:kern w:val="0"/>
                <w:sz w:val="20"/>
                <w:szCs w:val="20"/>
              </w:rPr>
              <w:t>　</w:t>
            </w:r>
          </w:p>
        </w:tc>
        <w:tc>
          <w:tcPr>
            <w:tcW w:w="1600" w:type="dxa"/>
            <w:tcBorders>
              <w:top w:val="nil"/>
              <w:left w:val="nil"/>
              <w:bottom w:val="single" w:color="auto" w:sz="4" w:space="0"/>
              <w:right w:val="single" w:color="auto" w:sz="4" w:space="0"/>
            </w:tcBorders>
            <w:shd w:val="clear" w:color="000000" w:fill="99CCFF"/>
            <w:vAlign w:val="center"/>
          </w:tcPr>
          <w:p>
            <w:pPr>
              <w:widowControl/>
              <w:jc w:val="left"/>
              <w:rPr>
                <w:rFonts w:ascii="黑体" w:hAnsi="黑体" w:eastAsia="黑体" w:cs="宋体"/>
                <w:kern w:val="0"/>
                <w:sz w:val="20"/>
                <w:szCs w:val="20"/>
              </w:rPr>
            </w:pPr>
            <w:r>
              <w:rPr>
                <w:rFonts w:hint="eastAsia" w:ascii="黑体" w:hAnsi="黑体" w:eastAsia="黑体" w:cs="宋体"/>
                <w:kern w:val="0"/>
                <w:sz w:val="20"/>
                <w:szCs w:val="20"/>
              </w:rPr>
              <w:t>幽门螺旋杆菌检测(C14)</w:t>
            </w:r>
          </w:p>
        </w:tc>
        <w:tc>
          <w:tcPr>
            <w:tcW w:w="640" w:type="dxa"/>
            <w:tcBorders>
              <w:top w:val="nil"/>
              <w:left w:val="nil"/>
              <w:bottom w:val="single" w:color="auto" w:sz="4" w:space="0"/>
              <w:right w:val="single" w:color="auto" w:sz="4" w:space="0"/>
            </w:tcBorders>
            <w:shd w:val="clear" w:color="000000" w:fill="99CCFF"/>
            <w:vAlign w:val="center"/>
          </w:tcPr>
          <w:p>
            <w:pPr>
              <w:widowControl/>
              <w:jc w:val="center"/>
              <w:rPr>
                <w:rFonts w:ascii="黑体" w:hAnsi="黑体" w:eastAsia="黑体" w:cs="宋体"/>
                <w:kern w:val="0"/>
                <w:sz w:val="20"/>
                <w:szCs w:val="20"/>
              </w:rPr>
            </w:pPr>
            <w:r>
              <w:rPr>
                <w:rFonts w:hint="eastAsia" w:ascii="黑体" w:hAnsi="黑体" w:eastAsia="黑体" w:cs="宋体"/>
                <w:kern w:val="0"/>
                <w:sz w:val="20"/>
                <w:szCs w:val="20"/>
              </w:rPr>
              <w:t>●</w:t>
            </w:r>
          </w:p>
        </w:tc>
        <w:tc>
          <w:tcPr>
            <w:tcW w:w="640" w:type="dxa"/>
            <w:tcBorders>
              <w:top w:val="nil"/>
              <w:left w:val="nil"/>
              <w:bottom w:val="single" w:color="auto" w:sz="4" w:space="0"/>
              <w:right w:val="single" w:color="auto" w:sz="4" w:space="0"/>
            </w:tcBorders>
            <w:shd w:val="clear" w:color="000000" w:fill="99CCFF"/>
            <w:vAlign w:val="center"/>
          </w:tcPr>
          <w:p>
            <w:pPr>
              <w:widowControl/>
              <w:jc w:val="center"/>
              <w:rPr>
                <w:rFonts w:ascii="黑体" w:hAnsi="黑体" w:eastAsia="黑体" w:cs="宋体"/>
                <w:kern w:val="0"/>
                <w:sz w:val="20"/>
                <w:szCs w:val="20"/>
              </w:rPr>
            </w:pPr>
            <w:r>
              <w:rPr>
                <w:rFonts w:hint="eastAsia" w:ascii="黑体" w:hAnsi="黑体" w:eastAsia="黑体" w:cs="宋体"/>
                <w:kern w:val="0"/>
                <w:sz w:val="20"/>
                <w:szCs w:val="20"/>
              </w:rPr>
              <w:t>●</w:t>
            </w:r>
          </w:p>
        </w:tc>
        <w:tc>
          <w:tcPr>
            <w:tcW w:w="640" w:type="dxa"/>
            <w:tcBorders>
              <w:top w:val="nil"/>
              <w:left w:val="nil"/>
              <w:bottom w:val="single" w:color="auto" w:sz="4" w:space="0"/>
              <w:right w:val="single" w:color="auto" w:sz="4" w:space="0"/>
            </w:tcBorders>
            <w:shd w:val="clear" w:color="000000" w:fill="99CCFF"/>
            <w:vAlign w:val="center"/>
          </w:tcPr>
          <w:p>
            <w:pPr>
              <w:widowControl/>
              <w:jc w:val="center"/>
              <w:rPr>
                <w:rFonts w:ascii="黑体" w:hAnsi="黑体" w:eastAsia="黑体" w:cs="宋体"/>
                <w:kern w:val="0"/>
                <w:sz w:val="20"/>
                <w:szCs w:val="20"/>
              </w:rPr>
            </w:pPr>
            <w:r>
              <w:rPr>
                <w:rFonts w:hint="eastAsia" w:ascii="黑体" w:hAnsi="黑体" w:eastAsia="黑体" w:cs="宋体"/>
                <w:kern w:val="0"/>
                <w:sz w:val="20"/>
                <w:szCs w:val="20"/>
              </w:rPr>
              <w:t>●</w:t>
            </w:r>
          </w:p>
        </w:tc>
        <w:tc>
          <w:tcPr>
            <w:tcW w:w="5820" w:type="dxa"/>
            <w:tcBorders>
              <w:top w:val="nil"/>
              <w:left w:val="nil"/>
              <w:bottom w:val="single" w:color="auto" w:sz="4" w:space="0"/>
            </w:tcBorders>
            <w:shd w:val="clear" w:color="auto" w:fill="auto"/>
            <w:vAlign w:val="center"/>
          </w:tcPr>
          <w:p>
            <w:pPr>
              <w:widowControl/>
              <w:jc w:val="left"/>
              <w:rPr>
                <w:rFonts w:ascii="黑体" w:hAnsi="黑体" w:eastAsia="黑体" w:cs="宋体"/>
                <w:kern w:val="0"/>
                <w:sz w:val="20"/>
                <w:szCs w:val="20"/>
              </w:rPr>
            </w:pPr>
            <w:r>
              <w:rPr>
                <w:rFonts w:hint="eastAsia" w:ascii="黑体" w:hAnsi="黑体" w:eastAsia="黑体" w:cs="宋体"/>
                <w:kern w:val="0"/>
                <w:sz w:val="20"/>
                <w:szCs w:val="20"/>
              </w:rPr>
              <w:t>幽门螺旋杆菌感染是慢性胃炎，消化溃疡的主要病因，也是非贲门胃癌的一个明确致病因子，防治幽门螺旋杆菌感染对胃癌的预防有一定的意义。有上腹痛，腹胀，嗳气，恶心，呕吐等消化道症状者建议检查。</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Layout w:type="fixed"/>
          <w:tblCellMar>
            <w:top w:w="0" w:type="dxa"/>
            <w:left w:w="108" w:type="dxa"/>
            <w:bottom w:w="0" w:type="dxa"/>
            <w:right w:w="108" w:type="dxa"/>
          </w:tblCellMar>
        </w:tblPrEx>
        <w:trPr>
          <w:trHeight w:val="270" w:hRule="atLeast"/>
        </w:trPr>
        <w:tc>
          <w:tcPr>
            <w:tcW w:w="2461" w:type="dxa"/>
            <w:gridSpan w:val="2"/>
            <w:tcBorders>
              <w:top w:val="single" w:color="auto" w:sz="4" w:space="0"/>
              <w:bottom w:val="single" w:color="auto" w:sz="4" w:space="0"/>
              <w:right w:val="single" w:color="auto" w:sz="4" w:space="0"/>
            </w:tcBorders>
            <w:shd w:val="clear" w:color="000000" w:fill="C0C0C0"/>
            <w:vAlign w:val="center"/>
          </w:tcPr>
          <w:p>
            <w:pPr>
              <w:widowControl/>
              <w:jc w:val="left"/>
              <w:rPr>
                <w:rFonts w:ascii="黑体" w:hAnsi="黑体" w:eastAsia="黑体" w:cs="宋体"/>
                <w:b/>
                <w:bCs/>
                <w:kern w:val="0"/>
                <w:sz w:val="20"/>
                <w:szCs w:val="20"/>
              </w:rPr>
            </w:pPr>
            <w:r>
              <w:rPr>
                <w:rFonts w:hint="eastAsia" w:ascii="黑体" w:hAnsi="黑体" w:eastAsia="黑体" w:cs="宋体"/>
                <w:b/>
                <w:bCs/>
                <w:kern w:val="0"/>
                <w:sz w:val="20"/>
                <w:szCs w:val="20"/>
              </w:rPr>
              <w:t>医学影像检测系列</w:t>
            </w:r>
          </w:p>
        </w:tc>
        <w:tc>
          <w:tcPr>
            <w:tcW w:w="640" w:type="dxa"/>
            <w:tcBorders>
              <w:top w:val="nil"/>
              <w:left w:val="nil"/>
              <w:bottom w:val="single" w:color="auto" w:sz="4" w:space="0"/>
              <w:right w:val="single" w:color="auto" w:sz="4" w:space="0"/>
            </w:tcBorders>
            <w:shd w:val="clear" w:color="000000" w:fill="C0C0C0"/>
            <w:vAlign w:val="center"/>
          </w:tcPr>
          <w:p>
            <w:pPr>
              <w:widowControl/>
              <w:jc w:val="center"/>
              <w:rPr>
                <w:rFonts w:ascii="黑体" w:hAnsi="黑体" w:eastAsia="黑体" w:cs="宋体"/>
                <w:kern w:val="0"/>
                <w:sz w:val="20"/>
                <w:szCs w:val="20"/>
              </w:rPr>
            </w:pPr>
            <w:r>
              <w:rPr>
                <w:rFonts w:hint="eastAsia" w:ascii="黑体" w:hAnsi="黑体" w:eastAsia="黑体" w:cs="宋体"/>
                <w:kern w:val="0"/>
                <w:sz w:val="20"/>
                <w:szCs w:val="20"/>
              </w:rPr>
              <w:t>　</w:t>
            </w:r>
          </w:p>
        </w:tc>
        <w:tc>
          <w:tcPr>
            <w:tcW w:w="640" w:type="dxa"/>
            <w:tcBorders>
              <w:top w:val="nil"/>
              <w:left w:val="nil"/>
              <w:bottom w:val="single" w:color="auto" w:sz="4" w:space="0"/>
              <w:right w:val="single" w:color="auto" w:sz="4" w:space="0"/>
            </w:tcBorders>
            <w:shd w:val="clear" w:color="000000" w:fill="C0C0C0"/>
            <w:vAlign w:val="center"/>
          </w:tcPr>
          <w:p>
            <w:pPr>
              <w:widowControl/>
              <w:jc w:val="center"/>
              <w:rPr>
                <w:rFonts w:ascii="黑体" w:hAnsi="黑体" w:eastAsia="黑体" w:cs="宋体"/>
                <w:kern w:val="0"/>
                <w:sz w:val="20"/>
                <w:szCs w:val="20"/>
              </w:rPr>
            </w:pPr>
            <w:r>
              <w:rPr>
                <w:rFonts w:hint="eastAsia" w:ascii="黑体" w:hAnsi="黑体" w:eastAsia="黑体" w:cs="宋体"/>
                <w:kern w:val="0"/>
                <w:sz w:val="20"/>
                <w:szCs w:val="20"/>
              </w:rPr>
              <w:t>　</w:t>
            </w:r>
          </w:p>
        </w:tc>
        <w:tc>
          <w:tcPr>
            <w:tcW w:w="640" w:type="dxa"/>
            <w:tcBorders>
              <w:top w:val="nil"/>
              <w:left w:val="nil"/>
              <w:bottom w:val="single" w:color="auto" w:sz="4" w:space="0"/>
              <w:right w:val="single" w:color="auto" w:sz="4" w:space="0"/>
            </w:tcBorders>
            <w:shd w:val="clear" w:color="000000" w:fill="C0C0C0"/>
            <w:vAlign w:val="center"/>
          </w:tcPr>
          <w:p>
            <w:pPr>
              <w:widowControl/>
              <w:jc w:val="center"/>
              <w:rPr>
                <w:rFonts w:ascii="黑体" w:hAnsi="黑体" w:eastAsia="黑体" w:cs="宋体"/>
                <w:kern w:val="0"/>
                <w:sz w:val="20"/>
                <w:szCs w:val="20"/>
              </w:rPr>
            </w:pPr>
            <w:r>
              <w:rPr>
                <w:rFonts w:hint="eastAsia" w:ascii="黑体" w:hAnsi="黑体" w:eastAsia="黑体" w:cs="宋体"/>
                <w:kern w:val="0"/>
                <w:sz w:val="20"/>
                <w:szCs w:val="20"/>
              </w:rPr>
              <w:t>　</w:t>
            </w:r>
          </w:p>
        </w:tc>
        <w:tc>
          <w:tcPr>
            <w:tcW w:w="5820" w:type="dxa"/>
            <w:tcBorders>
              <w:top w:val="nil"/>
              <w:left w:val="nil"/>
              <w:bottom w:val="single" w:color="auto" w:sz="4" w:space="0"/>
            </w:tcBorders>
            <w:shd w:val="clear" w:color="000000" w:fill="C0C0C0"/>
            <w:vAlign w:val="center"/>
          </w:tcPr>
          <w:p>
            <w:pPr>
              <w:widowControl/>
              <w:jc w:val="left"/>
              <w:rPr>
                <w:rFonts w:ascii="黑体" w:hAnsi="黑体" w:eastAsia="黑体" w:cs="宋体"/>
                <w:kern w:val="0"/>
                <w:sz w:val="20"/>
                <w:szCs w:val="20"/>
              </w:rPr>
            </w:pPr>
            <w:r>
              <w:rPr>
                <w:rFonts w:hint="eastAsia" w:ascii="黑体" w:hAnsi="黑体" w:eastAsia="黑体" w:cs="宋体"/>
                <w:kern w:val="0"/>
                <w:sz w:val="20"/>
                <w:szCs w:val="20"/>
              </w:rPr>
              <w:t>　</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Layout w:type="fixed"/>
          <w:tblCellMar>
            <w:top w:w="0" w:type="dxa"/>
            <w:left w:w="108" w:type="dxa"/>
            <w:bottom w:w="0" w:type="dxa"/>
            <w:right w:w="108" w:type="dxa"/>
          </w:tblCellMar>
        </w:tblPrEx>
        <w:trPr>
          <w:trHeight w:val="960" w:hRule="atLeast"/>
        </w:trPr>
        <w:tc>
          <w:tcPr>
            <w:tcW w:w="861" w:type="dxa"/>
            <w:vMerge w:val="restart"/>
            <w:tcBorders>
              <w:top w:val="nil"/>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20"/>
                <w:szCs w:val="20"/>
              </w:rPr>
            </w:pPr>
            <w:r>
              <w:rPr>
                <w:rFonts w:hint="eastAsia" w:ascii="黑体" w:hAnsi="黑体" w:eastAsia="黑体" w:cs="宋体"/>
                <w:kern w:val="0"/>
                <w:sz w:val="20"/>
                <w:szCs w:val="20"/>
              </w:rPr>
              <w:t>彩色B超</w:t>
            </w:r>
          </w:p>
        </w:tc>
        <w:tc>
          <w:tcPr>
            <w:tcW w:w="1600" w:type="dxa"/>
            <w:tcBorders>
              <w:top w:val="nil"/>
              <w:left w:val="nil"/>
              <w:bottom w:val="single" w:color="auto" w:sz="4" w:space="0"/>
              <w:right w:val="single" w:color="auto" w:sz="4" w:space="0"/>
            </w:tcBorders>
            <w:shd w:val="clear" w:color="auto" w:fill="auto"/>
            <w:vAlign w:val="center"/>
          </w:tcPr>
          <w:p>
            <w:pPr>
              <w:widowControl/>
              <w:jc w:val="left"/>
              <w:rPr>
                <w:rFonts w:ascii="黑体" w:hAnsi="黑体" w:eastAsia="黑体" w:cs="宋体"/>
                <w:kern w:val="0"/>
                <w:sz w:val="20"/>
                <w:szCs w:val="20"/>
              </w:rPr>
            </w:pPr>
            <w:r>
              <w:rPr>
                <w:rFonts w:hint="eastAsia" w:ascii="黑体" w:hAnsi="黑体" w:eastAsia="黑体" w:cs="宋体"/>
                <w:kern w:val="0"/>
                <w:sz w:val="20"/>
                <w:szCs w:val="20"/>
              </w:rPr>
              <w:t>腹部彩超</w:t>
            </w:r>
          </w:p>
        </w:tc>
        <w:tc>
          <w:tcPr>
            <w:tcW w:w="640"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20"/>
                <w:szCs w:val="20"/>
              </w:rPr>
            </w:pPr>
            <w:r>
              <w:rPr>
                <w:rFonts w:hint="eastAsia" w:ascii="黑体" w:hAnsi="黑体" w:eastAsia="黑体" w:cs="宋体"/>
                <w:kern w:val="0"/>
                <w:sz w:val="20"/>
                <w:szCs w:val="20"/>
              </w:rPr>
              <w:t>●</w:t>
            </w:r>
          </w:p>
        </w:tc>
        <w:tc>
          <w:tcPr>
            <w:tcW w:w="640"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20"/>
                <w:szCs w:val="20"/>
              </w:rPr>
            </w:pPr>
            <w:r>
              <w:rPr>
                <w:rFonts w:hint="eastAsia" w:ascii="黑体" w:hAnsi="黑体" w:eastAsia="黑体" w:cs="宋体"/>
                <w:kern w:val="0"/>
                <w:sz w:val="20"/>
                <w:szCs w:val="20"/>
              </w:rPr>
              <w:t>●</w:t>
            </w:r>
          </w:p>
        </w:tc>
        <w:tc>
          <w:tcPr>
            <w:tcW w:w="640"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20"/>
                <w:szCs w:val="20"/>
              </w:rPr>
            </w:pPr>
            <w:r>
              <w:rPr>
                <w:rFonts w:hint="eastAsia" w:ascii="黑体" w:hAnsi="黑体" w:eastAsia="黑体" w:cs="宋体"/>
                <w:kern w:val="0"/>
                <w:sz w:val="20"/>
                <w:szCs w:val="20"/>
              </w:rPr>
              <w:t>●</w:t>
            </w:r>
          </w:p>
        </w:tc>
        <w:tc>
          <w:tcPr>
            <w:tcW w:w="5820" w:type="dxa"/>
            <w:tcBorders>
              <w:top w:val="nil"/>
              <w:left w:val="nil"/>
              <w:bottom w:val="single" w:color="auto" w:sz="4" w:space="0"/>
            </w:tcBorders>
            <w:shd w:val="clear" w:color="auto" w:fill="auto"/>
            <w:vAlign w:val="center"/>
          </w:tcPr>
          <w:p>
            <w:pPr>
              <w:widowControl/>
              <w:jc w:val="left"/>
              <w:rPr>
                <w:rFonts w:ascii="黑体" w:hAnsi="黑体" w:eastAsia="黑体" w:cs="宋体"/>
                <w:kern w:val="0"/>
                <w:sz w:val="20"/>
                <w:szCs w:val="20"/>
              </w:rPr>
            </w:pPr>
            <w:r>
              <w:rPr>
                <w:rFonts w:hint="eastAsia" w:ascii="黑体" w:hAnsi="黑体" w:eastAsia="黑体" w:cs="宋体"/>
                <w:kern w:val="0"/>
                <w:sz w:val="20"/>
                <w:szCs w:val="20"/>
              </w:rPr>
              <w:t>主要检查八大部位，包括：肝脏（含肝內胆管、肝门静脉）、胆囊（含胆总管）、肾脏、、胰腺、脾脏。对人体内脏器官（肝、胆、脾、胰、肾）和各种病变（如肿瘤、结石、积水等）提供高清晰度的动态超声断层图像诊断。</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Layout w:type="fixed"/>
        </w:tblPrEx>
        <w:trPr>
          <w:trHeight w:val="480" w:hRule="atLeast"/>
        </w:trPr>
        <w:tc>
          <w:tcPr>
            <w:tcW w:w="861" w:type="dxa"/>
            <w:vMerge w:val="continue"/>
            <w:tcBorders>
              <w:top w:val="nil"/>
              <w:bottom w:val="single" w:color="auto" w:sz="4" w:space="0"/>
              <w:right w:val="single" w:color="auto" w:sz="4" w:space="0"/>
            </w:tcBorders>
            <w:vAlign w:val="center"/>
          </w:tcPr>
          <w:p>
            <w:pPr>
              <w:widowControl/>
              <w:jc w:val="left"/>
              <w:rPr>
                <w:rFonts w:ascii="黑体" w:hAnsi="黑体" w:eastAsia="黑体" w:cs="宋体"/>
                <w:kern w:val="0"/>
                <w:sz w:val="20"/>
                <w:szCs w:val="20"/>
              </w:rPr>
            </w:pPr>
          </w:p>
        </w:tc>
        <w:tc>
          <w:tcPr>
            <w:tcW w:w="1600" w:type="dxa"/>
            <w:tcBorders>
              <w:top w:val="nil"/>
              <w:left w:val="nil"/>
              <w:bottom w:val="single" w:color="auto" w:sz="4" w:space="0"/>
              <w:right w:val="single" w:color="auto" w:sz="4" w:space="0"/>
            </w:tcBorders>
            <w:shd w:val="clear" w:color="auto" w:fill="auto"/>
            <w:vAlign w:val="center"/>
          </w:tcPr>
          <w:p>
            <w:pPr>
              <w:widowControl/>
              <w:jc w:val="left"/>
              <w:rPr>
                <w:rFonts w:ascii="黑体" w:hAnsi="黑体" w:eastAsia="黑体" w:cs="宋体"/>
                <w:kern w:val="0"/>
                <w:sz w:val="20"/>
                <w:szCs w:val="20"/>
              </w:rPr>
            </w:pPr>
            <w:r>
              <w:rPr>
                <w:rFonts w:hint="eastAsia" w:ascii="黑体" w:hAnsi="黑体" w:eastAsia="黑体" w:cs="宋体"/>
                <w:kern w:val="0"/>
                <w:sz w:val="20"/>
                <w:szCs w:val="20"/>
              </w:rPr>
              <w:t>前列腺彩超</w:t>
            </w:r>
          </w:p>
        </w:tc>
        <w:tc>
          <w:tcPr>
            <w:tcW w:w="640"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20"/>
                <w:szCs w:val="20"/>
              </w:rPr>
            </w:pPr>
            <w:r>
              <w:rPr>
                <w:rFonts w:hint="eastAsia" w:ascii="黑体" w:hAnsi="黑体" w:eastAsia="黑体" w:cs="宋体"/>
                <w:kern w:val="0"/>
                <w:sz w:val="20"/>
                <w:szCs w:val="20"/>
              </w:rPr>
              <w:t>●</w:t>
            </w:r>
          </w:p>
        </w:tc>
        <w:tc>
          <w:tcPr>
            <w:tcW w:w="640"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20"/>
                <w:szCs w:val="20"/>
              </w:rPr>
            </w:pPr>
            <w:r>
              <w:rPr>
                <w:rFonts w:hint="eastAsia" w:ascii="黑体" w:hAnsi="黑体" w:eastAsia="黑体" w:cs="宋体"/>
                <w:kern w:val="0"/>
                <w:sz w:val="20"/>
                <w:szCs w:val="20"/>
              </w:rPr>
              <w:t>　</w:t>
            </w:r>
          </w:p>
        </w:tc>
        <w:tc>
          <w:tcPr>
            <w:tcW w:w="640"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20"/>
                <w:szCs w:val="20"/>
              </w:rPr>
            </w:pPr>
            <w:r>
              <w:rPr>
                <w:rFonts w:hint="eastAsia" w:ascii="黑体" w:hAnsi="黑体" w:eastAsia="黑体" w:cs="宋体"/>
                <w:kern w:val="0"/>
                <w:sz w:val="20"/>
                <w:szCs w:val="20"/>
              </w:rPr>
              <w:t>　</w:t>
            </w:r>
          </w:p>
        </w:tc>
        <w:tc>
          <w:tcPr>
            <w:tcW w:w="5820" w:type="dxa"/>
            <w:tcBorders>
              <w:top w:val="nil"/>
              <w:left w:val="nil"/>
              <w:bottom w:val="single" w:color="auto" w:sz="4" w:space="0"/>
            </w:tcBorders>
            <w:shd w:val="clear" w:color="auto" w:fill="auto"/>
            <w:vAlign w:val="center"/>
          </w:tcPr>
          <w:p>
            <w:pPr>
              <w:widowControl/>
              <w:jc w:val="left"/>
              <w:rPr>
                <w:rFonts w:ascii="黑体" w:hAnsi="黑体" w:eastAsia="黑体" w:cs="宋体"/>
                <w:kern w:val="0"/>
                <w:sz w:val="20"/>
                <w:szCs w:val="20"/>
              </w:rPr>
            </w:pPr>
            <w:r>
              <w:rPr>
                <w:rFonts w:hint="eastAsia" w:ascii="黑体" w:hAnsi="黑体" w:eastAsia="黑体" w:cs="宋体"/>
                <w:kern w:val="0"/>
                <w:sz w:val="20"/>
                <w:szCs w:val="20"/>
              </w:rPr>
              <w:t>超声检查能较好的显示前列腺的形态、大小，对于前列腺增生、肥大、钙化等疾病具有意义。</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Layout w:type="fixed"/>
          <w:tblCellMar>
            <w:top w:w="0" w:type="dxa"/>
            <w:left w:w="108" w:type="dxa"/>
            <w:bottom w:w="0" w:type="dxa"/>
            <w:right w:w="108" w:type="dxa"/>
          </w:tblCellMar>
        </w:tblPrEx>
        <w:trPr>
          <w:trHeight w:val="480" w:hRule="atLeast"/>
        </w:trPr>
        <w:tc>
          <w:tcPr>
            <w:tcW w:w="861" w:type="dxa"/>
            <w:vMerge w:val="continue"/>
            <w:tcBorders>
              <w:top w:val="nil"/>
              <w:bottom w:val="single" w:color="auto" w:sz="4" w:space="0"/>
              <w:right w:val="single" w:color="auto" w:sz="4" w:space="0"/>
            </w:tcBorders>
            <w:vAlign w:val="center"/>
          </w:tcPr>
          <w:p>
            <w:pPr>
              <w:widowControl/>
              <w:jc w:val="left"/>
              <w:rPr>
                <w:rFonts w:ascii="黑体" w:hAnsi="黑体" w:eastAsia="黑体" w:cs="宋体"/>
                <w:kern w:val="0"/>
                <w:sz w:val="20"/>
                <w:szCs w:val="20"/>
              </w:rPr>
            </w:pPr>
          </w:p>
        </w:tc>
        <w:tc>
          <w:tcPr>
            <w:tcW w:w="1600" w:type="dxa"/>
            <w:tcBorders>
              <w:top w:val="nil"/>
              <w:left w:val="nil"/>
              <w:bottom w:val="single" w:color="auto" w:sz="4" w:space="0"/>
              <w:right w:val="single" w:color="auto" w:sz="4" w:space="0"/>
            </w:tcBorders>
            <w:shd w:val="clear" w:color="auto" w:fill="auto"/>
            <w:vAlign w:val="center"/>
          </w:tcPr>
          <w:p>
            <w:pPr>
              <w:widowControl/>
              <w:jc w:val="left"/>
              <w:rPr>
                <w:rFonts w:ascii="黑体" w:hAnsi="黑体" w:eastAsia="黑体" w:cs="宋体"/>
                <w:kern w:val="0"/>
                <w:sz w:val="20"/>
                <w:szCs w:val="20"/>
              </w:rPr>
            </w:pPr>
            <w:r>
              <w:rPr>
                <w:rFonts w:hint="eastAsia" w:ascii="黑体" w:hAnsi="黑体" w:eastAsia="黑体" w:cs="宋体"/>
                <w:kern w:val="0"/>
                <w:sz w:val="20"/>
                <w:szCs w:val="20"/>
              </w:rPr>
              <w:t>乳腺彩超</w:t>
            </w:r>
          </w:p>
        </w:tc>
        <w:tc>
          <w:tcPr>
            <w:tcW w:w="640"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20"/>
                <w:szCs w:val="20"/>
              </w:rPr>
            </w:pPr>
            <w:r>
              <w:rPr>
                <w:rFonts w:hint="eastAsia" w:ascii="黑体" w:hAnsi="黑体" w:eastAsia="黑体" w:cs="宋体"/>
                <w:kern w:val="0"/>
                <w:sz w:val="20"/>
                <w:szCs w:val="20"/>
              </w:rPr>
              <w:t>　</w:t>
            </w:r>
          </w:p>
        </w:tc>
        <w:tc>
          <w:tcPr>
            <w:tcW w:w="640"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20"/>
                <w:szCs w:val="20"/>
              </w:rPr>
            </w:pPr>
            <w:r>
              <w:rPr>
                <w:rFonts w:hint="eastAsia" w:ascii="黑体" w:hAnsi="黑体" w:eastAsia="黑体" w:cs="宋体"/>
                <w:kern w:val="0"/>
                <w:sz w:val="20"/>
                <w:szCs w:val="20"/>
              </w:rPr>
              <w:t>●</w:t>
            </w:r>
          </w:p>
        </w:tc>
        <w:tc>
          <w:tcPr>
            <w:tcW w:w="640"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20"/>
                <w:szCs w:val="20"/>
              </w:rPr>
            </w:pPr>
            <w:r>
              <w:rPr>
                <w:rFonts w:hint="eastAsia" w:ascii="黑体" w:hAnsi="黑体" w:eastAsia="黑体" w:cs="宋体"/>
                <w:kern w:val="0"/>
                <w:sz w:val="20"/>
                <w:szCs w:val="20"/>
              </w:rPr>
              <w:t>●</w:t>
            </w:r>
          </w:p>
        </w:tc>
        <w:tc>
          <w:tcPr>
            <w:tcW w:w="5820" w:type="dxa"/>
            <w:tcBorders>
              <w:top w:val="nil"/>
              <w:left w:val="nil"/>
              <w:bottom w:val="single" w:color="auto" w:sz="4" w:space="0"/>
            </w:tcBorders>
            <w:shd w:val="clear" w:color="auto" w:fill="auto"/>
            <w:vAlign w:val="center"/>
          </w:tcPr>
          <w:p>
            <w:pPr>
              <w:widowControl/>
              <w:jc w:val="left"/>
              <w:rPr>
                <w:rFonts w:ascii="黑体" w:hAnsi="黑体" w:eastAsia="黑体" w:cs="宋体"/>
                <w:kern w:val="0"/>
                <w:sz w:val="20"/>
                <w:szCs w:val="20"/>
              </w:rPr>
            </w:pPr>
            <w:r>
              <w:rPr>
                <w:rFonts w:hint="eastAsia" w:ascii="黑体" w:hAnsi="黑体" w:eastAsia="黑体" w:cs="宋体"/>
                <w:kern w:val="0"/>
                <w:sz w:val="20"/>
                <w:szCs w:val="20"/>
              </w:rPr>
              <w:t>采用B超探头检查乳腺囊性增生、乳腺囊肿、纤维腺瘤、乳腺癌、乳腺炎症及脓肿等乳腺病变，可进行乳腺癌的普查。</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Layout w:type="fixed"/>
          <w:tblCellMar>
            <w:top w:w="0" w:type="dxa"/>
            <w:left w:w="108" w:type="dxa"/>
            <w:bottom w:w="0" w:type="dxa"/>
            <w:right w:w="108" w:type="dxa"/>
          </w:tblCellMar>
        </w:tblPrEx>
        <w:trPr>
          <w:trHeight w:val="720" w:hRule="atLeast"/>
        </w:trPr>
        <w:tc>
          <w:tcPr>
            <w:tcW w:w="861" w:type="dxa"/>
            <w:vMerge w:val="continue"/>
            <w:tcBorders>
              <w:top w:val="nil"/>
              <w:bottom w:val="single" w:color="auto" w:sz="4" w:space="0"/>
              <w:right w:val="single" w:color="auto" w:sz="4" w:space="0"/>
            </w:tcBorders>
            <w:vAlign w:val="center"/>
          </w:tcPr>
          <w:p>
            <w:pPr>
              <w:widowControl/>
              <w:jc w:val="left"/>
              <w:rPr>
                <w:rFonts w:ascii="黑体" w:hAnsi="黑体" w:eastAsia="黑体" w:cs="宋体"/>
                <w:kern w:val="0"/>
                <w:sz w:val="20"/>
                <w:szCs w:val="20"/>
              </w:rPr>
            </w:pPr>
          </w:p>
        </w:tc>
        <w:tc>
          <w:tcPr>
            <w:tcW w:w="1600" w:type="dxa"/>
            <w:tcBorders>
              <w:top w:val="nil"/>
              <w:left w:val="nil"/>
              <w:bottom w:val="single" w:color="auto" w:sz="4" w:space="0"/>
              <w:right w:val="single" w:color="auto" w:sz="4" w:space="0"/>
            </w:tcBorders>
            <w:shd w:val="clear" w:color="auto" w:fill="auto"/>
            <w:vAlign w:val="center"/>
          </w:tcPr>
          <w:p>
            <w:pPr>
              <w:widowControl/>
              <w:jc w:val="left"/>
              <w:rPr>
                <w:rFonts w:ascii="黑体" w:hAnsi="黑体" w:eastAsia="黑体" w:cs="宋体"/>
                <w:kern w:val="0"/>
                <w:sz w:val="20"/>
                <w:szCs w:val="20"/>
              </w:rPr>
            </w:pPr>
            <w:r>
              <w:rPr>
                <w:rFonts w:hint="eastAsia" w:ascii="黑体" w:hAnsi="黑体" w:eastAsia="黑体" w:cs="宋体"/>
                <w:kern w:val="0"/>
                <w:sz w:val="20"/>
                <w:szCs w:val="20"/>
              </w:rPr>
              <w:t>子宫及附件彩超</w:t>
            </w:r>
          </w:p>
        </w:tc>
        <w:tc>
          <w:tcPr>
            <w:tcW w:w="640"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20"/>
                <w:szCs w:val="20"/>
              </w:rPr>
            </w:pPr>
            <w:r>
              <w:rPr>
                <w:rFonts w:hint="eastAsia" w:ascii="黑体" w:hAnsi="黑体" w:eastAsia="黑体" w:cs="宋体"/>
                <w:kern w:val="0"/>
                <w:sz w:val="20"/>
                <w:szCs w:val="20"/>
              </w:rPr>
              <w:t>　</w:t>
            </w:r>
          </w:p>
        </w:tc>
        <w:tc>
          <w:tcPr>
            <w:tcW w:w="640"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20"/>
                <w:szCs w:val="20"/>
              </w:rPr>
            </w:pPr>
            <w:r>
              <w:rPr>
                <w:rFonts w:hint="eastAsia" w:ascii="黑体" w:hAnsi="黑体" w:eastAsia="黑体" w:cs="宋体"/>
                <w:kern w:val="0"/>
                <w:sz w:val="20"/>
                <w:szCs w:val="20"/>
              </w:rPr>
              <w:t>●</w:t>
            </w:r>
          </w:p>
        </w:tc>
        <w:tc>
          <w:tcPr>
            <w:tcW w:w="640"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20"/>
                <w:szCs w:val="20"/>
              </w:rPr>
            </w:pPr>
            <w:r>
              <w:rPr>
                <w:rFonts w:hint="eastAsia" w:ascii="黑体" w:hAnsi="黑体" w:eastAsia="黑体" w:cs="宋体"/>
                <w:kern w:val="0"/>
                <w:sz w:val="20"/>
                <w:szCs w:val="20"/>
              </w:rPr>
              <w:t>●</w:t>
            </w:r>
          </w:p>
        </w:tc>
        <w:tc>
          <w:tcPr>
            <w:tcW w:w="5820" w:type="dxa"/>
            <w:tcBorders>
              <w:top w:val="nil"/>
              <w:left w:val="nil"/>
              <w:bottom w:val="single" w:color="auto" w:sz="4" w:space="0"/>
            </w:tcBorders>
            <w:shd w:val="clear" w:color="auto" w:fill="auto"/>
            <w:vAlign w:val="center"/>
          </w:tcPr>
          <w:p>
            <w:pPr>
              <w:widowControl/>
              <w:jc w:val="left"/>
              <w:rPr>
                <w:rFonts w:ascii="黑体" w:hAnsi="黑体" w:eastAsia="黑体" w:cs="宋体"/>
                <w:kern w:val="0"/>
                <w:sz w:val="20"/>
                <w:szCs w:val="20"/>
              </w:rPr>
            </w:pPr>
            <w:r>
              <w:rPr>
                <w:rFonts w:hint="eastAsia" w:ascii="黑体" w:hAnsi="黑体" w:eastAsia="黑体" w:cs="宋体"/>
                <w:kern w:val="0"/>
                <w:sz w:val="20"/>
                <w:szCs w:val="20"/>
              </w:rPr>
              <w:t>可以清晰显示女性内生殖器的切面图象，现已成为妇科疾病的重要诊断技术之一。B超能够探查子宫、输卵管、卵巢等部位的病变。</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Layout w:type="fixed"/>
          <w:tblCellMar>
            <w:top w:w="0" w:type="dxa"/>
            <w:left w:w="108" w:type="dxa"/>
            <w:bottom w:w="0" w:type="dxa"/>
            <w:right w:w="108" w:type="dxa"/>
          </w:tblCellMar>
        </w:tblPrEx>
        <w:trPr>
          <w:trHeight w:val="720" w:hRule="atLeast"/>
        </w:trPr>
        <w:tc>
          <w:tcPr>
            <w:tcW w:w="861" w:type="dxa"/>
            <w:vMerge w:val="continue"/>
            <w:tcBorders>
              <w:top w:val="nil"/>
              <w:bottom w:val="single" w:color="auto" w:sz="4" w:space="0"/>
              <w:right w:val="single" w:color="auto" w:sz="4" w:space="0"/>
            </w:tcBorders>
            <w:vAlign w:val="center"/>
          </w:tcPr>
          <w:p>
            <w:pPr>
              <w:widowControl/>
              <w:jc w:val="left"/>
              <w:rPr>
                <w:rFonts w:ascii="黑体" w:hAnsi="黑体" w:eastAsia="黑体" w:cs="宋体"/>
                <w:kern w:val="0"/>
                <w:sz w:val="20"/>
                <w:szCs w:val="20"/>
              </w:rPr>
            </w:pPr>
          </w:p>
        </w:tc>
        <w:tc>
          <w:tcPr>
            <w:tcW w:w="1600" w:type="dxa"/>
            <w:tcBorders>
              <w:top w:val="nil"/>
              <w:left w:val="nil"/>
              <w:bottom w:val="single" w:color="auto" w:sz="4" w:space="0"/>
              <w:right w:val="single" w:color="auto" w:sz="4" w:space="0"/>
            </w:tcBorders>
            <w:shd w:val="clear" w:color="auto" w:fill="auto"/>
            <w:vAlign w:val="center"/>
          </w:tcPr>
          <w:p>
            <w:pPr>
              <w:widowControl/>
              <w:jc w:val="left"/>
              <w:rPr>
                <w:rFonts w:ascii="黑体" w:hAnsi="黑体" w:eastAsia="黑体" w:cs="宋体"/>
                <w:kern w:val="0"/>
                <w:sz w:val="20"/>
                <w:szCs w:val="20"/>
              </w:rPr>
            </w:pPr>
            <w:r>
              <w:rPr>
                <w:rFonts w:hint="eastAsia" w:ascii="黑体" w:hAnsi="黑体" w:eastAsia="黑体" w:cs="宋体"/>
                <w:kern w:val="0"/>
                <w:sz w:val="20"/>
                <w:szCs w:val="20"/>
              </w:rPr>
              <w:t>颈动脉彩超</w:t>
            </w:r>
          </w:p>
        </w:tc>
        <w:tc>
          <w:tcPr>
            <w:tcW w:w="640"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20"/>
                <w:szCs w:val="20"/>
              </w:rPr>
            </w:pPr>
            <w:r>
              <w:rPr>
                <w:rFonts w:hint="eastAsia" w:ascii="黑体" w:hAnsi="黑体" w:eastAsia="黑体" w:cs="宋体"/>
                <w:kern w:val="0"/>
                <w:sz w:val="20"/>
                <w:szCs w:val="20"/>
              </w:rPr>
              <w:t>●</w:t>
            </w:r>
          </w:p>
        </w:tc>
        <w:tc>
          <w:tcPr>
            <w:tcW w:w="640"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20"/>
                <w:szCs w:val="20"/>
              </w:rPr>
            </w:pPr>
            <w:r>
              <w:rPr>
                <w:rFonts w:hint="eastAsia" w:ascii="黑体" w:hAnsi="黑体" w:eastAsia="黑体" w:cs="宋体"/>
                <w:kern w:val="0"/>
                <w:sz w:val="20"/>
                <w:szCs w:val="20"/>
              </w:rPr>
              <w:t>●</w:t>
            </w:r>
          </w:p>
        </w:tc>
        <w:tc>
          <w:tcPr>
            <w:tcW w:w="640"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20"/>
                <w:szCs w:val="20"/>
              </w:rPr>
            </w:pPr>
            <w:r>
              <w:rPr>
                <w:rFonts w:hint="eastAsia" w:ascii="黑体" w:hAnsi="黑体" w:eastAsia="黑体" w:cs="宋体"/>
                <w:kern w:val="0"/>
                <w:sz w:val="20"/>
                <w:szCs w:val="20"/>
              </w:rPr>
              <w:t>●</w:t>
            </w:r>
          </w:p>
        </w:tc>
        <w:tc>
          <w:tcPr>
            <w:tcW w:w="5820" w:type="dxa"/>
            <w:tcBorders>
              <w:top w:val="nil"/>
              <w:left w:val="nil"/>
              <w:bottom w:val="single" w:color="auto" w:sz="4" w:space="0"/>
            </w:tcBorders>
            <w:shd w:val="clear" w:color="auto" w:fill="auto"/>
            <w:vAlign w:val="center"/>
          </w:tcPr>
          <w:p>
            <w:pPr>
              <w:widowControl/>
              <w:jc w:val="left"/>
              <w:rPr>
                <w:rFonts w:ascii="黑体" w:hAnsi="黑体" w:eastAsia="黑体" w:cs="宋体"/>
                <w:kern w:val="0"/>
                <w:sz w:val="20"/>
                <w:szCs w:val="20"/>
              </w:rPr>
            </w:pPr>
            <w:r>
              <w:rPr>
                <w:rFonts w:hint="eastAsia" w:ascii="黑体" w:hAnsi="黑体" w:eastAsia="黑体" w:cs="宋体"/>
                <w:kern w:val="0"/>
                <w:sz w:val="20"/>
                <w:szCs w:val="20"/>
              </w:rPr>
              <w:t>使用彩色多普勒高密度复合探头检测颈动脉内中膜厚度及血流速度，反映头颈部的血流灌注及有无动脉硬化，为临床诊断提供了丰富的血流灌注信息。</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Layout w:type="fixed"/>
          <w:tblCellMar>
            <w:top w:w="0" w:type="dxa"/>
            <w:left w:w="108" w:type="dxa"/>
            <w:bottom w:w="0" w:type="dxa"/>
            <w:right w:w="108" w:type="dxa"/>
          </w:tblCellMar>
        </w:tblPrEx>
        <w:trPr>
          <w:trHeight w:val="960" w:hRule="atLeast"/>
        </w:trPr>
        <w:tc>
          <w:tcPr>
            <w:tcW w:w="861" w:type="dxa"/>
            <w:vMerge w:val="continue"/>
            <w:tcBorders>
              <w:top w:val="nil"/>
              <w:bottom w:val="single" w:color="auto" w:sz="4" w:space="0"/>
              <w:right w:val="single" w:color="auto" w:sz="4" w:space="0"/>
            </w:tcBorders>
            <w:vAlign w:val="center"/>
          </w:tcPr>
          <w:p>
            <w:pPr>
              <w:widowControl/>
              <w:jc w:val="left"/>
              <w:rPr>
                <w:rFonts w:ascii="黑体" w:hAnsi="黑体" w:eastAsia="黑体" w:cs="宋体"/>
                <w:kern w:val="0"/>
                <w:sz w:val="20"/>
                <w:szCs w:val="20"/>
              </w:rPr>
            </w:pPr>
          </w:p>
        </w:tc>
        <w:tc>
          <w:tcPr>
            <w:tcW w:w="1600" w:type="dxa"/>
            <w:tcBorders>
              <w:top w:val="nil"/>
              <w:left w:val="nil"/>
              <w:bottom w:val="single" w:color="auto" w:sz="4" w:space="0"/>
              <w:right w:val="single" w:color="auto" w:sz="4" w:space="0"/>
            </w:tcBorders>
            <w:shd w:val="clear" w:color="auto" w:fill="auto"/>
            <w:vAlign w:val="center"/>
          </w:tcPr>
          <w:p>
            <w:pPr>
              <w:widowControl/>
              <w:jc w:val="left"/>
              <w:rPr>
                <w:rFonts w:ascii="黑体" w:hAnsi="黑体" w:eastAsia="黑体" w:cs="宋体"/>
                <w:kern w:val="0"/>
                <w:sz w:val="20"/>
                <w:szCs w:val="20"/>
              </w:rPr>
            </w:pPr>
            <w:r>
              <w:rPr>
                <w:rFonts w:hint="eastAsia" w:ascii="黑体" w:hAnsi="黑体" w:eastAsia="黑体" w:cs="宋体"/>
                <w:kern w:val="0"/>
                <w:sz w:val="20"/>
                <w:szCs w:val="20"/>
              </w:rPr>
              <w:t>甲状腺彩超</w:t>
            </w:r>
          </w:p>
        </w:tc>
        <w:tc>
          <w:tcPr>
            <w:tcW w:w="640"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20"/>
                <w:szCs w:val="20"/>
              </w:rPr>
            </w:pPr>
            <w:r>
              <w:rPr>
                <w:rFonts w:hint="eastAsia" w:ascii="黑体" w:hAnsi="黑体" w:eastAsia="黑体" w:cs="宋体"/>
                <w:kern w:val="0"/>
                <w:sz w:val="20"/>
                <w:szCs w:val="20"/>
              </w:rPr>
              <w:t>●</w:t>
            </w:r>
          </w:p>
        </w:tc>
        <w:tc>
          <w:tcPr>
            <w:tcW w:w="640"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20"/>
                <w:szCs w:val="20"/>
              </w:rPr>
            </w:pPr>
            <w:r>
              <w:rPr>
                <w:rFonts w:hint="eastAsia" w:ascii="黑体" w:hAnsi="黑体" w:eastAsia="黑体" w:cs="宋体"/>
                <w:kern w:val="0"/>
                <w:sz w:val="20"/>
                <w:szCs w:val="20"/>
              </w:rPr>
              <w:t>●</w:t>
            </w:r>
          </w:p>
        </w:tc>
        <w:tc>
          <w:tcPr>
            <w:tcW w:w="640"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20"/>
                <w:szCs w:val="20"/>
              </w:rPr>
            </w:pPr>
            <w:r>
              <w:rPr>
                <w:rFonts w:hint="eastAsia" w:ascii="黑体" w:hAnsi="黑体" w:eastAsia="黑体" w:cs="宋体"/>
                <w:kern w:val="0"/>
                <w:sz w:val="20"/>
                <w:szCs w:val="20"/>
              </w:rPr>
              <w:t>●</w:t>
            </w:r>
          </w:p>
        </w:tc>
        <w:tc>
          <w:tcPr>
            <w:tcW w:w="5820" w:type="dxa"/>
            <w:tcBorders>
              <w:top w:val="nil"/>
              <w:left w:val="nil"/>
              <w:bottom w:val="single" w:color="auto" w:sz="4" w:space="0"/>
            </w:tcBorders>
            <w:shd w:val="clear" w:color="auto" w:fill="auto"/>
            <w:vAlign w:val="center"/>
          </w:tcPr>
          <w:p>
            <w:pPr>
              <w:widowControl/>
              <w:jc w:val="left"/>
              <w:rPr>
                <w:rFonts w:ascii="黑体" w:hAnsi="黑体" w:eastAsia="黑体" w:cs="宋体"/>
                <w:kern w:val="0"/>
                <w:sz w:val="20"/>
                <w:szCs w:val="20"/>
              </w:rPr>
            </w:pPr>
            <w:r>
              <w:rPr>
                <w:rFonts w:hint="eastAsia" w:ascii="黑体" w:hAnsi="黑体" w:eastAsia="黑体" w:cs="宋体"/>
                <w:kern w:val="0"/>
                <w:sz w:val="20"/>
                <w:szCs w:val="20"/>
              </w:rPr>
              <w:t>采用B超探头检查甲状腺，清晰显示甲状腺病变，如：甲状旁腺增生、甲状腺囊肿、腺瘤、腺癌、转移癌，以及各种原因引起的甲状腺肿大，为临床治疗提供依据。简便快捷，准确性较高。</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Layout w:type="fixed"/>
          <w:tblCellMar>
            <w:top w:w="0" w:type="dxa"/>
            <w:left w:w="108" w:type="dxa"/>
            <w:bottom w:w="0" w:type="dxa"/>
            <w:right w:w="108" w:type="dxa"/>
          </w:tblCellMar>
        </w:tblPrEx>
        <w:trPr>
          <w:trHeight w:val="720" w:hRule="atLeast"/>
        </w:trPr>
        <w:tc>
          <w:tcPr>
            <w:tcW w:w="861" w:type="dxa"/>
            <w:vMerge w:val="continue"/>
            <w:tcBorders>
              <w:top w:val="nil"/>
              <w:bottom w:val="single" w:color="auto" w:sz="4" w:space="0"/>
              <w:right w:val="single" w:color="auto" w:sz="4" w:space="0"/>
            </w:tcBorders>
            <w:vAlign w:val="center"/>
          </w:tcPr>
          <w:p>
            <w:pPr>
              <w:widowControl/>
              <w:jc w:val="left"/>
              <w:rPr>
                <w:rFonts w:ascii="黑体" w:hAnsi="黑体" w:eastAsia="黑体" w:cs="宋体"/>
                <w:kern w:val="0"/>
                <w:sz w:val="20"/>
                <w:szCs w:val="20"/>
              </w:rPr>
            </w:pPr>
          </w:p>
        </w:tc>
        <w:tc>
          <w:tcPr>
            <w:tcW w:w="1600" w:type="dxa"/>
            <w:tcBorders>
              <w:top w:val="nil"/>
              <w:left w:val="nil"/>
              <w:bottom w:val="single" w:color="auto" w:sz="4" w:space="0"/>
              <w:right w:val="single" w:color="auto" w:sz="4" w:space="0"/>
            </w:tcBorders>
            <w:shd w:val="clear" w:color="auto" w:fill="auto"/>
            <w:vAlign w:val="center"/>
          </w:tcPr>
          <w:p>
            <w:pPr>
              <w:widowControl/>
              <w:jc w:val="left"/>
              <w:rPr>
                <w:rFonts w:ascii="黑体" w:hAnsi="黑体" w:eastAsia="黑体" w:cs="宋体"/>
                <w:kern w:val="0"/>
                <w:sz w:val="20"/>
                <w:szCs w:val="20"/>
              </w:rPr>
            </w:pPr>
            <w:r>
              <w:rPr>
                <w:rFonts w:hint="eastAsia" w:ascii="黑体" w:hAnsi="黑体" w:eastAsia="黑体" w:cs="宋体"/>
                <w:kern w:val="0"/>
                <w:sz w:val="20"/>
                <w:szCs w:val="20"/>
              </w:rPr>
              <w:t>心脏彩超</w:t>
            </w:r>
          </w:p>
        </w:tc>
        <w:tc>
          <w:tcPr>
            <w:tcW w:w="640"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20"/>
                <w:szCs w:val="20"/>
              </w:rPr>
            </w:pPr>
            <w:r>
              <w:rPr>
                <w:rFonts w:hint="eastAsia" w:ascii="黑体" w:hAnsi="黑体" w:eastAsia="黑体" w:cs="宋体"/>
                <w:kern w:val="0"/>
                <w:sz w:val="20"/>
                <w:szCs w:val="20"/>
              </w:rPr>
              <w:t>●</w:t>
            </w:r>
          </w:p>
        </w:tc>
        <w:tc>
          <w:tcPr>
            <w:tcW w:w="640"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20"/>
                <w:szCs w:val="20"/>
              </w:rPr>
            </w:pPr>
            <w:r>
              <w:rPr>
                <w:rFonts w:hint="eastAsia" w:ascii="黑体" w:hAnsi="黑体" w:eastAsia="黑体" w:cs="宋体"/>
                <w:kern w:val="0"/>
                <w:sz w:val="20"/>
                <w:szCs w:val="20"/>
              </w:rPr>
              <w:t>●</w:t>
            </w:r>
          </w:p>
        </w:tc>
        <w:tc>
          <w:tcPr>
            <w:tcW w:w="640"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20"/>
                <w:szCs w:val="20"/>
              </w:rPr>
            </w:pPr>
            <w:r>
              <w:rPr>
                <w:rFonts w:hint="eastAsia" w:ascii="黑体" w:hAnsi="黑体" w:eastAsia="黑体" w:cs="宋体"/>
                <w:kern w:val="0"/>
                <w:sz w:val="20"/>
                <w:szCs w:val="20"/>
              </w:rPr>
              <w:t>●</w:t>
            </w:r>
          </w:p>
        </w:tc>
        <w:tc>
          <w:tcPr>
            <w:tcW w:w="5820" w:type="dxa"/>
            <w:tcBorders>
              <w:top w:val="nil"/>
              <w:left w:val="nil"/>
              <w:bottom w:val="single" w:color="auto" w:sz="4" w:space="0"/>
            </w:tcBorders>
            <w:shd w:val="clear" w:color="auto" w:fill="auto"/>
            <w:vAlign w:val="center"/>
          </w:tcPr>
          <w:p>
            <w:pPr>
              <w:widowControl/>
              <w:jc w:val="left"/>
              <w:rPr>
                <w:rFonts w:ascii="黑体" w:hAnsi="黑体" w:eastAsia="黑体" w:cs="宋体"/>
                <w:kern w:val="0"/>
                <w:sz w:val="20"/>
                <w:szCs w:val="20"/>
              </w:rPr>
            </w:pPr>
            <w:r>
              <w:rPr>
                <w:rFonts w:hint="eastAsia" w:ascii="黑体" w:hAnsi="黑体" w:eastAsia="黑体" w:cs="宋体"/>
                <w:kern w:val="0"/>
                <w:sz w:val="20"/>
                <w:szCs w:val="20"/>
              </w:rPr>
              <w:t>使用彩色多普勒高密度复合探头检查心脏内部结构和血流变化，对明确诊断先天性心脏病、心瓣膜病等器质性心脏疾病及心功能有重要的意义，是心血管疾病的重要诊断方法。</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Layout w:type="fixed"/>
        </w:tblPrEx>
        <w:trPr>
          <w:trHeight w:val="720" w:hRule="atLeast"/>
        </w:trPr>
        <w:tc>
          <w:tcPr>
            <w:tcW w:w="861" w:type="dxa"/>
            <w:vMerge w:val="continue"/>
            <w:tcBorders>
              <w:top w:val="nil"/>
              <w:bottom w:val="single" w:color="auto" w:sz="4" w:space="0"/>
              <w:right w:val="single" w:color="auto" w:sz="4" w:space="0"/>
            </w:tcBorders>
            <w:vAlign w:val="center"/>
          </w:tcPr>
          <w:p>
            <w:pPr>
              <w:widowControl/>
              <w:jc w:val="left"/>
              <w:rPr>
                <w:rFonts w:ascii="黑体" w:hAnsi="黑体" w:eastAsia="黑体" w:cs="宋体"/>
                <w:kern w:val="0"/>
                <w:sz w:val="20"/>
                <w:szCs w:val="20"/>
              </w:rPr>
            </w:pPr>
          </w:p>
        </w:tc>
        <w:tc>
          <w:tcPr>
            <w:tcW w:w="1600" w:type="dxa"/>
            <w:tcBorders>
              <w:top w:val="nil"/>
              <w:left w:val="nil"/>
              <w:bottom w:val="single" w:color="auto" w:sz="4" w:space="0"/>
              <w:right w:val="single" w:color="auto" w:sz="4" w:space="0"/>
            </w:tcBorders>
            <w:shd w:val="clear" w:color="auto" w:fill="auto"/>
            <w:vAlign w:val="center"/>
          </w:tcPr>
          <w:p>
            <w:pPr>
              <w:widowControl/>
              <w:jc w:val="left"/>
              <w:rPr>
                <w:rFonts w:ascii="黑体" w:hAnsi="黑体" w:eastAsia="黑体" w:cs="宋体"/>
                <w:kern w:val="0"/>
                <w:sz w:val="20"/>
                <w:szCs w:val="20"/>
              </w:rPr>
            </w:pPr>
            <w:r>
              <w:rPr>
                <w:rFonts w:hint="eastAsia" w:ascii="黑体" w:hAnsi="黑体" w:eastAsia="黑体" w:cs="宋体"/>
                <w:kern w:val="0"/>
                <w:sz w:val="20"/>
                <w:szCs w:val="20"/>
              </w:rPr>
              <w:t>经颅多谱勒(TCD)</w:t>
            </w:r>
          </w:p>
        </w:tc>
        <w:tc>
          <w:tcPr>
            <w:tcW w:w="640"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20"/>
                <w:szCs w:val="20"/>
              </w:rPr>
            </w:pPr>
            <w:r>
              <w:rPr>
                <w:rFonts w:hint="eastAsia" w:ascii="黑体" w:hAnsi="黑体" w:eastAsia="黑体" w:cs="宋体"/>
                <w:kern w:val="0"/>
                <w:sz w:val="20"/>
                <w:szCs w:val="20"/>
              </w:rPr>
              <w:t>●</w:t>
            </w:r>
          </w:p>
        </w:tc>
        <w:tc>
          <w:tcPr>
            <w:tcW w:w="640"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20"/>
                <w:szCs w:val="20"/>
              </w:rPr>
            </w:pPr>
            <w:r>
              <w:rPr>
                <w:rFonts w:hint="eastAsia" w:ascii="黑体" w:hAnsi="黑体" w:eastAsia="黑体" w:cs="宋体"/>
                <w:kern w:val="0"/>
                <w:sz w:val="20"/>
                <w:szCs w:val="20"/>
              </w:rPr>
              <w:t>●</w:t>
            </w:r>
          </w:p>
        </w:tc>
        <w:tc>
          <w:tcPr>
            <w:tcW w:w="640"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20"/>
                <w:szCs w:val="20"/>
              </w:rPr>
            </w:pPr>
            <w:r>
              <w:rPr>
                <w:rFonts w:hint="eastAsia" w:ascii="黑体" w:hAnsi="黑体" w:eastAsia="黑体" w:cs="宋体"/>
                <w:kern w:val="0"/>
                <w:sz w:val="20"/>
                <w:szCs w:val="20"/>
              </w:rPr>
              <w:t>●</w:t>
            </w:r>
          </w:p>
        </w:tc>
        <w:tc>
          <w:tcPr>
            <w:tcW w:w="5820" w:type="dxa"/>
            <w:tcBorders>
              <w:top w:val="nil"/>
              <w:left w:val="nil"/>
              <w:bottom w:val="single" w:color="auto" w:sz="4" w:space="0"/>
            </w:tcBorders>
            <w:shd w:val="clear" w:color="auto" w:fill="auto"/>
            <w:vAlign w:val="center"/>
          </w:tcPr>
          <w:p>
            <w:pPr>
              <w:widowControl/>
              <w:jc w:val="left"/>
              <w:rPr>
                <w:rFonts w:ascii="黑体" w:hAnsi="黑体" w:eastAsia="黑体" w:cs="宋体"/>
                <w:kern w:val="0"/>
                <w:sz w:val="20"/>
                <w:szCs w:val="20"/>
              </w:rPr>
            </w:pPr>
            <w:r>
              <w:rPr>
                <w:rFonts w:hint="eastAsia" w:ascii="黑体" w:hAnsi="黑体" w:eastAsia="黑体" w:cs="宋体"/>
                <w:kern w:val="0"/>
                <w:sz w:val="20"/>
                <w:szCs w:val="20"/>
              </w:rPr>
              <w:t xml:space="preserve">通过超声探头检测了解脑动脉供血的情况,协助有否脑动脉硬化、局部脑血管狭窄、脑血管的血流改变等临床诊断。对防治脑梗塞、脑供血不足有一定的参考价值。 </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Layout w:type="fixed"/>
          <w:tblCellMar>
            <w:top w:w="0" w:type="dxa"/>
            <w:left w:w="108" w:type="dxa"/>
            <w:bottom w:w="0" w:type="dxa"/>
            <w:right w:w="108" w:type="dxa"/>
          </w:tblCellMar>
        </w:tblPrEx>
        <w:trPr>
          <w:trHeight w:val="285" w:hRule="atLeast"/>
        </w:trPr>
        <w:tc>
          <w:tcPr>
            <w:tcW w:w="2461" w:type="dxa"/>
            <w:gridSpan w:val="2"/>
            <w:tcBorders>
              <w:top w:val="single" w:color="auto" w:sz="4" w:space="0"/>
              <w:bottom w:val="single" w:color="auto" w:sz="4" w:space="0"/>
              <w:right w:val="single" w:color="auto" w:sz="4" w:space="0"/>
            </w:tcBorders>
            <w:shd w:val="clear" w:color="000000" w:fill="C0C0C0"/>
            <w:vAlign w:val="center"/>
          </w:tcPr>
          <w:p>
            <w:pPr>
              <w:widowControl/>
              <w:jc w:val="left"/>
              <w:rPr>
                <w:rFonts w:ascii="黑体" w:hAnsi="黑体" w:eastAsia="黑体" w:cs="宋体"/>
                <w:b/>
                <w:bCs/>
                <w:kern w:val="0"/>
                <w:sz w:val="20"/>
                <w:szCs w:val="20"/>
              </w:rPr>
            </w:pPr>
            <w:r>
              <w:rPr>
                <w:rFonts w:hint="eastAsia" w:ascii="黑体" w:hAnsi="黑体" w:eastAsia="黑体" w:cs="宋体"/>
                <w:b/>
                <w:bCs/>
                <w:kern w:val="0"/>
                <w:sz w:val="20"/>
                <w:szCs w:val="20"/>
              </w:rPr>
              <w:t>基因及生理检测</w:t>
            </w:r>
          </w:p>
        </w:tc>
        <w:tc>
          <w:tcPr>
            <w:tcW w:w="640" w:type="dxa"/>
            <w:tcBorders>
              <w:top w:val="nil"/>
              <w:left w:val="nil"/>
              <w:bottom w:val="single" w:color="auto" w:sz="4" w:space="0"/>
              <w:right w:val="single" w:color="auto" w:sz="4" w:space="0"/>
            </w:tcBorders>
            <w:shd w:val="clear" w:color="000000" w:fill="C0C0C0"/>
            <w:vAlign w:val="center"/>
          </w:tcPr>
          <w:p>
            <w:pPr>
              <w:widowControl/>
              <w:jc w:val="center"/>
              <w:rPr>
                <w:rFonts w:ascii="黑体" w:hAnsi="黑体" w:eastAsia="黑体" w:cs="宋体"/>
                <w:kern w:val="0"/>
                <w:sz w:val="20"/>
                <w:szCs w:val="20"/>
              </w:rPr>
            </w:pPr>
            <w:r>
              <w:rPr>
                <w:rFonts w:hint="eastAsia" w:ascii="黑体" w:hAnsi="黑体" w:eastAsia="黑体" w:cs="宋体"/>
                <w:kern w:val="0"/>
                <w:sz w:val="20"/>
                <w:szCs w:val="20"/>
              </w:rPr>
              <w:t>　</w:t>
            </w:r>
          </w:p>
        </w:tc>
        <w:tc>
          <w:tcPr>
            <w:tcW w:w="640" w:type="dxa"/>
            <w:tcBorders>
              <w:top w:val="nil"/>
              <w:left w:val="nil"/>
              <w:bottom w:val="single" w:color="auto" w:sz="4" w:space="0"/>
              <w:right w:val="single" w:color="auto" w:sz="4" w:space="0"/>
            </w:tcBorders>
            <w:shd w:val="clear" w:color="000000" w:fill="C0C0C0"/>
            <w:vAlign w:val="center"/>
          </w:tcPr>
          <w:p>
            <w:pPr>
              <w:widowControl/>
              <w:jc w:val="center"/>
              <w:rPr>
                <w:rFonts w:ascii="黑体" w:hAnsi="黑体" w:eastAsia="黑体" w:cs="宋体"/>
                <w:kern w:val="0"/>
                <w:sz w:val="20"/>
                <w:szCs w:val="20"/>
              </w:rPr>
            </w:pPr>
            <w:r>
              <w:rPr>
                <w:rFonts w:hint="eastAsia" w:ascii="黑体" w:hAnsi="黑体" w:eastAsia="黑体" w:cs="宋体"/>
                <w:kern w:val="0"/>
                <w:sz w:val="20"/>
                <w:szCs w:val="20"/>
              </w:rPr>
              <w:t>　</w:t>
            </w:r>
          </w:p>
        </w:tc>
        <w:tc>
          <w:tcPr>
            <w:tcW w:w="640" w:type="dxa"/>
            <w:tcBorders>
              <w:top w:val="nil"/>
              <w:left w:val="nil"/>
              <w:bottom w:val="single" w:color="auto" w:sz="4" w:space="0"/>
              <w:right w:val="single" w:color="auto" w:sz="4" w:space="0"/>
            </w:tcBorders>
            <w:shd w:val="clear" w:color="000000" w:fill="C0C0C0"/>
            <w:vAlign w:val="center"/>
          </w:tcPr>
          <w:p>
            <w:pPr>
              <w:widowControl/>
              <w:jc w:val="center"/>
              <w:rPr>
                <w:rFonts w:ascii="黑体" w:hAnsi="黑体" w:eastAsia="黑体" w:cs="宋体"/>
                <w:kern w:val="0"/>
                <w:sz w:val="20"/>
                <w:szCs w:val="20"/>
              </w:rPr>
            </w:pPr>
            <w:r>
              <w:rPr>
                <w:rFonts w:hint="eastAsia" w:ascii="黑体" w:hAnsi="黑体" w:eastAsia="黑体" w:cs="宋体"/>
                <w:kern w:val="0"/>
                <w:sz w:val="20"/>
                <w:szCs w:val="20"/>
              </w:rPr>
              <w:t>　</w:t>
            </w:r>
          </w:p>
        </w:tc>
        <w:tc>
          <w:tcPr>
            <w:tcW w:w="5820" w:type="dxa"/>
            <w:tcBorders>
              <w:top w:val="nil"/>
              <w:left w:val="nil"/>
              <w:bottom w:val="single" w:color="auto" w:sz="4" w:space="0"/>
            </w:tcBorders>
            <w:shd w:val="clear" w:color="000000" w:fill="C0C0C0"/>
            <w:vAlign w:val="center"/>
          </w:tcPr>
          <w:p>
            <w:pPr>
              <w:widowControl/>
              <w:jc w:val="left"/>
              <w:rPr>
                <w:rFonts w:ascii="黑体" w:hAnsi="黑体" w:eastAsia="黑体" w:cs="宋体"/>
                <w:kern w:val="0"/>
                <w:sz w:val="20"/>
                <w:szCs w:val="20"/>
              </w:rPr>
            </w:pPr>
            <w:r>
              <w:rPr>
                <w:rFonts w:hint="eastAsia" w:ascii="黑体" w:hAnsi="黑体" w:eastAsia="黑体" w:cs="宋体"/>
                <w:kern w:val="0"/>
                <w:sz w:val="20"/>
                <w:szCs w:val="20"/>
              </w:rPr>
              <w:t>　</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Layout w:type="fixed"/>
          <w:tblCellMar>
            <w:top w:w="0" w:type="dxa"/>
            <w:left w:w="108" w:type="dxa"/>
            <w:bottom w:w="0" w:type="dxa"/>
            <w:right w:w="108" w:type="dxa"/>
          </w:tblCellMar>
        </w:tblPrEx>
        <w:trPr>
          <w:trHeight w:val="2119" w:hRule="atLeast"/>
        </w:trPr>
        <w:tc>
          <w:tcPr>
            <w:tcW w:w="2461" w:type="dxa"/>
            <w:gridSpan w:val="2"/>
            <w:tcBorders>
              <w:top w:val="single" w:color="auto" w:sz="4" w:space="0"/>
              <w:bottom w:val="single" w:color="auto" w:sz="4" w:space="0"/>
              <w:right w:val="single" w:color="auto" w:sz="4" w:space="0"/>
            </w:tcBorders>
            <w:shd w:val="clear" w:color="000000" w:fill="99CCFF"/>
            <w:vAlign w:val="center"/>
          </w:tcPr>
          <w:p>
            <w:pPr>
              <w:widowControl/>
              <w:jc w:val="center"/>
              <w:rPr>
                <w:rFonts w:ascii="黑体" w:hAnsi="黑体" w:eastAsia="黑体" w:cs="宋体"/>
                <w:kern w:val="0"/>
                <w:sz w:val="20"/>
                <w:szCs w:val="20"/>
              </w:rPr>
            </w:pPr>
            <w:r>
              <w:rPr>
                <w:rFonts w:hint="eastAsia" w:ascii="黑体" w:hAnsi="黑体" w:eastAsia="黑体" w:cs="宋体"/>
                <w:kern w:val="0"/>
                <w:sz w:val="20"/>
                <w:szCs w:val="20"/>
              </w:rPr>
              <w:t>P53抑癌基因（男7项）</w:t>
            </w:r>
          </w:p>
        </w:tc>
        <w:tc>
          <w:tcPr>
            <w:tcW w:w="640" w:type="dxa"/>
            <w:tcBorders>
              <w:top w:val="nil"/>
              <w:left w:val="nil"/>
              <w:bottom w:val="single" w:color="auto" w:sz="4" w:space="0"/>
              <w:right w:val="single" w:color="auto" w:sz="4" w:space="0"/>
            </w:tcBorders>
            <w:shd w:val="clear" w:color="000000" w:fill="99CCFF"/>
            <w:vAlign w:val="center"/>
          </w:tcPr>
          <w:p>
            <w:pPr>
              <w:widowControl/>
              <w:jc w:val="center"/>
              <w:rPr>
                <w:rFonts w:ascii="黑体" w:hAnsi="黑体" w:eastAsia="黑体" w:cs="宋体"/>
                <w:color w:val="FF0000"/>
                <w:kern w:val="0"/>
                <w:sz w:val="20"/>
                <w:szCs w:val="20"/>
              </w:rPr>
            </w:pPr>
            <w:r>
              <w:rPr>
                <w:rFonts w:hint="eastAsia" w:ascii="黑体" w:hAnsi="黑体" w:eastAsia="黑体" w:cs="宋体"/>
                <w:color w:val="FF0000"/>
                <w:kern w:val="0"/>
                <w:sz w:val="20"/>
                <w:szCs w:val="20"/>
              </w:rPr>
              <w:t>●</w:t>
            </w:r>
          </w:p>
        </w:tc>
        <w:tc>
          <w:tcPr>
            <w:tcW w:w="640" w:type="dxa"/>
            <w:tcBorders>
              <w:top w:val="nil"/>
              <w:left w:val="nil"/>
              <w:bottom w:val="single" w:color="auto" w:sz="4" w:space="0"/>
              <w:right w:val="single" w:color="auto" w:sz="4" w:space="0"/>
            </w:tcBorders>
            <w:shd w:val="clear" w:color="000000" w:fill="99CCFF"/>
            <w:vAlign w:val="center"/>
          </w:tcPr>
          <w:p>
            <w:pPr>
              <w:widowControl/>
              <w:jc w:val="center"/>
              <w:rPr>
                <w:rFonts w:ascii="黑体" w:hAnsi="黑体" w:eastAsia="黑体" w:cs="宋体"/>
                <w:color w:val="FF0000"/>
                <w:kern w:val="0"/>
                <w:sz w:val="20"/>
                <w:szCs w:val="20"/>
              </w:rPr>
            </w:pPr>
            <w:r>
              <w:rPr>
                <w:rFonts w:hint="eastAsia" w:ascii="黑体" w:hAnsi="黑体" w:eastAsia="黑体" w:cs="宋体"/>
                <w:color w:val="FF0000"/>
                <w:kern w:val="0"/>
                <w:sz w:val="20"/>
                <w:szCs w:val="20"/>
              </w:rPr>
              <w:t>　</w:t>
            </w:r>
          </w:p>
        </w:tc>
        <w:tc>
          <w:tcPr>
            <w:tcW w:w="640" w:type="dxa"/>
            <w:tcBorders>
              <w:top w:val="nil"/>
              <w:left w:val="nil"/>
              <w:bottom w:val="single" w:color="auto" w:sz="4" w:space="0"/>
              <w:right w:val="single" w:color="auto" w:sz="4" w:space="0"/>
            </w:tcBorders>
            <w:shd w:val="clear" w:color="000000" w:fill="99CCFF"/>
            <w:vAlign w:val="center"/>
          </w:tcPr>
          <w:p>
            <w:pPr>
              <w:widowControl/>
              <w:jc w:val="center"/>
              <w:rPr>
                <w:rFonts w:ascii="黑体" w:hAnsi="黑体" w:eastAsia="黑体" w:cs="宋体"/>
                <w:color w:val="FF0000"/>
                <w:kern w:val="0"/>
                <w:sz w:val="20"/>
                <w:szCs w:val="20"/>
              </w:rPr>
            </w:pPr>
            <w:r>
              <w:rPr>
                <w:rFonts w:hint="eastAsia" w:ascii="黑体" w:hAnsi="黑体" w:eastAsia="黑体" w:cs="宋体"/>
                <w:color w:val="FF0000"/>
                <w:kern w:val="0"/>
                <w:sz w:val="20"/>
                <w:szCs w:val="20"/>
              </w:rPr>
              <w:t>　</w:t>
            </w:r>
          </w:p>
        </w:tc>
        <w:tc>
          <w:tcPr>
            <w:tcW w:w="5820" w:type="dxa"/>
            <w:tcBorders>
              <w:top w:val="nil"/>
              <w:left w:val="nil"/>
              <w:bottom w:val="single" w:color="auto" w:sz="4" w:space="0"/>
            </w:tcBorders>
            <w:shd w:val="clear" w:color="000000" w:fill="99CCFF"/>
            <w:vAlign w:val="center"/>
          </w:tcPr>
          <w:p>
            <w:pPr>
              <w:widowControl/>
              <w:jc w:val="left"/>
              <w:rPr>
                <w:rFonts w:ascii="黑体" w:hAnsi="黑体" w:eastAsia="黑体" w:cs="宋体"/>
                <w:kern w:val="0"/>
                <w:sz w:val="20"/>
                <w:szCs w:val="20"/>
              </w:rPr>
            </w:pPr>
            <w:r>
              <w:rPr>
                <w:rFonts w:hint="eastAsia" w:ascii="黑体" w:hAnsi="黑体" w:eastAsia="黑体" w:cs="宋体"/>
                <w:kern w:val="0"/>
                <w:sz w:val="20"/>
                <w:szCs w:val="20"/>
              </w:rPr>
              <w:t>前列腺癌，肺癌，骨肉瘤，结直肠癌，神经胶质瘤，食管癌，头颈癌.</w:t>
            </w:r>
            <w:r>
              <w:rPr>
                <w:rFonts w:hint="eastAsia" w:ascii="黑体" w:hAnsi="黑体" w:eastAsia="黑体" w:cs="宋体"/>
                <w:kern w:val="0"/>
                <w:sz w:val="20"/>
                <w:szCs w:val="20"/>
              </w:rPr>
              <w:br w:type="textWrapping"/>
            </w:r>
            <w:r>
              <w:rPr>
                <w:rFonts w:hint="eastAsia" w:ascii="黑体" w:hAnsi="黑体" w:eastAsia="黑体" w:cs="宋体"/>
                <w:kern w:val="0"/>
                <w:sz w:val="20"/>
                <w:szCs w:val="20"/>
              </w:rPr>
              <w:t>P53检测是检测 P53基因外显子的核酸序列，根据核酸序列是否发生突变来判断发生癌症的风险的一种癌症早早期预警检测。</w:t>
            </w:r>
            <w:r>
              <w:rPr>
                <w:rFonts w:hint="eastAsia" w:ascii="黑体" w:hAnsi="黑体" w:eastAsia="黑体" w:cs="宋体"/>
                <w:kern w:val="0"/>
                <w:sz w:val="20"/>
                <w:szCs w:val="20"/>
              </w:rPr>
              <w:br w:type="textWrapping"/>
            </w:r>
            <w:r>
              <w:rPr>
                <w:rFonts w:hint="eastAsia" w:ascii="黑体" w:hAnsi="黑体" w:eastAsia="黑体" w:cs="宋体"/>
                <w:kern w:val="0"/>
                <w:sz w:val="20"/>
                <w:szCs w:val="20"/>
              </w:rPr>
              <w:t>1.研究背景明确，通过检测一个抑癌基因是否突变，了解患多种癌风险；</w:t>
            </w:r>
            <w:r>
              <w:rPr>
                <w:rFonts w:hint="eastAsia" w:ascii="黑体" w:hAnsi="黑体" w:eastAsia="黑体" w:cs="宋体"/>
                <w:kern w:val="0"/>
                <w:sz w:val="20"/>
                <w:szCs w:val="20"/>
              </w:rPr>
              <w:br w:type="textWrapping"/>
            </w:r>
            <w:r>
              <w:rPr>
                <w:rFonts w:hint="eastAsia" w:ascii="黑体" w:hAnsi="黑体" w:eastAsia="黑体" w:cs="宋体"/>
                <w:kern w:val="0"/>
                <w:sz w:val="20"/>
                <w:szCs w:val="20"/>
              </w:rPr>
              <w:t>2.新角度（相比较 SNP 方法）了解自身患癌风险。</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Layout w:type="fixed"/>
          <w:tblCellMar>
            <w:top w:w="0" w:type="dxa"/>
            <w:left w:w="108" w:type="dxa"/>
            <w:bottom w:w="0" w:type="dxa"/>
            <w:right w:w="108" w:type="dxa"/>
          </w:tblCellMar>
        </w:tblPrEx>
        <w:trPr>
          <w:trHeight w:val="2040" w:hRule="atLeast"/>
        </w:trPr>
        <w:tc>
          <w:tcPr>
            <w:tcW w:w="2461" w:type="dxa"/>
            <w:gridSpan w:val="2"/>
            <w:tcBorders>
              <w:top w:val="single" w:color="auto" w:sz="4" w:space="0"/>
              <w:bottom w:val="single" w:color="auto" w:sz="4" w:space="0"/>
              <w:right w:val="single" w:color="auto" w:sz="4" w:space="0"/>
            </w:tcBorders>
            <w:shd w:val="clear" w:color="000000" w:fill="99CCFF"/>
            <w:vAlign w:val="center"/>
          </w:tcPr>
          <w:p>
            <w:pPr>
              <w:widowControl/>
              <w:jc w:val="center"/>
              <w:rPr>
                <w:rFonts w:ascii="黑体" w:hAnsi="黑体" w:eastAsia="黑体" w:cs="宋体"/>
                <w:kern w:val="0"/>
                <w:sz w:val="20"/>
                <w:szCs w:val="20"/>
              </w:rPr>
            </w:pPr>
            <w:r>
              <w:rPr>
                <w:rFonts w:hint="eastAsia" w:ascii="黑体" w:hAnsi="黑体" w:eastAsia="黑体" w:cs="宋体"/>
                <w:kern w:val="0"/>
                <w:sz w:val="20"/>
                <w:szCs w:val="20"/>
              </w:rPr>
              <w:t>P53抑癌基因（女8项）</w:t>
            </w:r>
          </w:p>
        </w:tc>
        <w:tc>
          <w:tcPr>
            <w:tcW w:w="640" w:type="dxa"/>
            <w:tcBorders>
              <w:top w:val="nil"/>
              <w:left w:val="nil"/>
              <w:bottom w:val="single" w:color="auto" w:sz="4" w:space="0"/>
              <w:right w:val="single" w:color="auto" w:sz="4" w:space="0"/>
            </w:tcBorders>
            <w:shd w:val="clear" w:color="000000" w:fill="99CCFF"/>
            <w:vAlign w:val="center"/>
          </w:tcPr>
          <w:p>
            <w:pPr>
              <w:widowControl/>
              <w:jc w:val="center"/>
              <w:rPr>
                <w:rFonts w:ascii="黑体" w:hAnsi="黑体" w:eastAsia="黑体" w:cs="宋体"/>
                <w:color w:val="FF0000"/>
                <w:kern w:val="0"/>
                <w:sz w:val="20"/>
                <w:szCs w:val="20"/>
              </w:rPr>
            </w:pPr>
            <w:r>
              <w:rPr>
                <w:rFonts w:hint="eastAsia" w:ascii="黑体" w:hAnsi="黑体" w:eastAsia="黑体" w:cs="宋体"/>
                <w:color w:val="FF0000"/>
                <w:kern w:val="0"/>
                <w:sz w:val="20"/>
                <w:szCs w:val="20"/>
              </w:rPr>
              <w:t>　</w:t>
            </w:r>
          </w:p>
        </w:tc>
        <w:tc>
          <w:tcPr>
            <w:tcW w:w="640" w:type="dxa"/>
            <w:tcBorders>
              <w:top w:val="nil"/>
              <w:left w:val="nil"/>
              <w:bottom w:val="single" w:color="auto" w:sz="4" w:space="0"/>
              <w:right w:val="single" w:color="auto" w:sz="4" w:space="0"/>
            </w:tcBorders>
            <w:shd w:val="clear" w:color="000000" w:fill="99CCFF"/>
            <w:vAlign w:val="center"/>
          </w:tcPr>
          <w:p>
            <w:pPr>
              <w:widowControl/>
              <w:jc w:val="center"/>
              <w:rPr>
                <w:rFonts w:ascii="黑体" w:hAnsi="黑体" w:eastAsia="黑体" w:cs="宋体"/>
                <w:color w:val="FF0000"/>
                <w:kern w:val="0"/>
                <w:sz w:val="20"/>
                <w:szCs w:val="20"/>
              </w:rPr>
            </w:pPr>
            <w:r>
              <w:rPr>
                <w:rFonts w:hint="eastAsia" w:ascii="黑体" w:hAnsi="黑体" w:eastAsia="黑体" w:cs="宋体"/>
                <w:color w:val="FF0000"/>
                <w:kern w:val="0"/>
                <w:sz w:val="20"/>
                <w:szCs w:val="20"/>
              </w:rPr>
              <w:t>●</w:t>
            </w:r>
          </w:p>
        </w:tc>
        <w:tc>
          <w:tcPr>
            <w:tcW w:w="640" w:type="dxa"/>
            <w:tcBorders>
              <w:top w:val="nil"/>
              <w:left w:val="nil"/>
              <w:bottom w:val="single" w:color="auto" w:sz="4" w:space="0"/>
              <w:right w:val="single" w:color="auto" w:sz="4" w:space="0"/>
            </w:tcBorders>
            <w:shd w:val="clear" w:color="000000" w:fill="99CCFF"/>
            <w:vAlign w:val="center"/>
          </w:tcPr>
          <w:p>
            <w:pPr>
              <w:widowControl/>
              <w:jc w:val="center"/>
              <w:rPr>
                <w:rFonts w:ascii="黑体" w:hAnsi="黑体" w:eastAsia="黑体" w:cs="宋体"/>
                <w:color w:val="FF0000"/>
                <w:kern w:val="0"/>
                <w:sz w:val="20"/>
                <w:szCs w:val="20"/>
              </w:rPr>
            </w:pPr>
            <w:r>
              <w:rPr>
                <w:rFonts w:hint="eastAsia" w:ascii="黑体" w:hAnsi="黑体" w:eastAsia="黑体" w:cs="宋体"/>
                <w:color w:val="FF0000"/>
                <w:kern w:val="0"/>
                <w:sz w:val="20"/>
                <w:szCs w:val="20"/>
              </w:rPr>
              <w:t>●</w:t>
            </w:r>
          </w:p>
        </w:tc>
        <w:tc>
          <w:tcPr>
            <w:tcW w:w="5820" w:type="dxa"/>
            <w:tcBorders>
              <w:top w:val="nil"/>
              <w:left w:val="nil"/>
              <w:bottom w:val="single" w:color="auto" w:sz="4" w:space="0"/>
            </w:tcBorders>
            <w:shd w:val="clear" w:color="000000" w:fill="99CCFF"/>
            <w:vAlign w:val="center"/>
          </w:tcPr>
          <w:p>
            <w:pPr>
              <w:widowControl/>
              <w:jc w:val="left"/>
              <w:rPr>
                <w:rFonts w:ascii="黑体" w:hAnsi="黑体" w:eastAsia="黑体" w:cs="宋体"/>
                <w:kern w:val="0"/>
                <w:sz w:val="20"/>
                <w:szCs w:val="20"/>
              </w:rPr>
            </w:pPr>
            <w:r>
              <w:rPr>
                <w:rFonts w:hint="eastAsia" w:ascii="黑体" w:hAnsi="黑体" w:eastAsia="黑体" w:cs="宋体"/>
                <w:kern w:val="0"/>
                <w:sz w:val="20"/>
                <w:szCs w:val="20"/>
              </w:rPr>
              <w:t>乳腺癌，卵巢癌，肺癌，骨肉瘤，结直肠癌，神经胶质瘤，食管癌，头颈癌</w:t>
            </w:r>
            <w:r>
              <w:rPr>
                <w:rFonts w:hint="eastAsia" w:ascii="黑体" w:hAnsi="黑体" w:eastAsia="黑体" w:cs="宋体"/>
                <w:kern w:val="0"/>
                <w:sz w:val="20"/>
                <w:szCs w:val="20"/>
              </w:rPr>
              <w:br w:type="textWrapping"/>
            </w:r>
            <w:r>
              <w:rPr>
                <w:rFonts w:hint="eastAsia" w:ascii="黑体" w:hAnsi="黑体" w:eastAsia="黑体" w:cs="宋体"/>
                <w:kern w:val="0"/>
                <w:sz w:val="20"/>
                <w:szCs w:val="20"/>
              </w:rPr>
              <w:t>P53检测是检测 P53基因外显子的核酸序列，根据核酸序列是否发生突变来判断发生癌症的风险的一种癌症早早期预警检测。</w:t>
            </w:r>
            <w:r>
              <w:rPr>
                <w:rFonts w:hint="eastAsia" w:ascii="黑体" w:hAnsi="黑体" w:eastAsia="黑体" w:cs="宋体"/>
                <w:kern w:val="0"/>
                <w:sz w:val="20"/>
                <w:szCs w:val="20"/>
              </w:rPr>
              <w:br w:type="textWrapping"/>
            </w:r>
            <w:r>
              <w:rPr>
                <w:rFonts w:hint="eastAsia" w:ascii="黑体" w:hAnsi="黑体" w:eastAsia="黑体" w:cs="宋体"/>
                <w:kern w:val="0"/>
                <w:sz w:val="20"/>
                <w:szCs w:val="20"/>
              </w:rPr>
              <w:t>1.研究背景明确，通过检测一个抑癌基因是否突变，了解患多种癌风险；</w:t>
            </w:r>
            <w:r>
              <w:rPr>
                <w:rFonts w:hint="eastAsia" w:ascii="黑体" w:hAnsi="黑体" w:eastAsia="黑体" w:cs="宋体"/>
                <w:kern w:val="0"/>
                <w:sz w:val="20"/>
                <w:szCs w:val="20"/>
              </w:rPr>
              <w:br w:type="textWrapping"/>
            </w:r>
            <w:r>
              <w:rPr>
                <w:rFonts w:hint="eastAsia" w:ascii="黑体" w:hAnsi="黑体" w:eastAsia="黑体" w:cs="宋体"/>
                <w:kern w:val="0"/>
                <w:sz w:val="20"/>
                <w:szCs w:val="20"/>
              </w:rPr>
              <w:t>2.新角度（相比较 SNP 方法）了解自身患癌风险。</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Layout w:type="fixed"/>
          <w:tblCellMar>
            <w:top w:w="0" w:type="dxa"/>
            <w:left w:w="108" w:type="dxa"/>
            <w:bottom w:w="0" w:type="dxa"/>
            <w:right w:w="108" w:type="dxa"/>
          </w:tblCellMar>
        </w:tblPrEx>
        <w:trPr>
          <w:trHeight w:val="600" w:hRule="atLeast"/>
        </w:trPr>
        <w:tc>
          <w:tcPr>
            <w:tcW w:w="861" w:type="dxa"/>
            <w:vMerge w:val="restart"/>
            <w:tcBorders>
              <w:top w:val="nil"/>
              <w:bottom w:val="single" w:color="auto" w:sz="4" w:space="0"/>
              <w:right w:val="single" w:color="auto" w:sz="4" w:space="0"/>
            </w:tcBorders>
            <w:shd w:val="clear" w:color="auto" w:fill="auto"/>
            <w:vAlign w:val="center"/>
          </w:tcPr>
          <w:p>
            <w:pPr>
              <w:widowControl/>
              <w:jc w:val="left"/>
              <w:rPr>
                <w:rFonts w:ascii="黑体" w:hAnsi="黑体" w:eastAsia="黑体" w:cs="宋体"/>
                <w:kern w:val="0"/>
                <w:sz w:val="20"/>
                <w:szCs w:val="20"/>
              </w:rPr>
            </w:pPr>
            <w:r>
              <w:rPr>
                <w:rFonts w:hint="eastAsia" w:ascii="黑体" w:hAnsi="黑体" w:eastAsia="黑体" w:cs="宋体"/>
                <w:kern w:val="0"/>
                <w:sz w:val="20"/>
                <w:szCs w:val="20"/>
              </w:rPr>
              <w:t>　</w:t>
            </w:r>
          </w:p>
        </w:tc>
        <w:tc>
          <w:tcPr>
            <w:tcW w:w="1600" w:type="dxa"/>
            <w:tcBorders>
              <w:top w:val="nil"/>
              <w:left w:val="nil"/>
              <w:bottom w:val="single" w:color="auto" w:sz="4" w:space="0"/>
              <w:right w:val="single" w:color="auto" w:sz="4" w:space="0"/>
            </w:tcBorders>
            <w:shd w:val="clear" w:color="auto" w:fill="auto"/>
            <w:vAlign w:val="center"/>
          </w:tcPr>
          <w:p>
            <w:pPr>
              <w:widowControl/>
              <w:jc w:val="left"/>
              <w:rPr>
                <w:rFonts w:ascii="黑体" w:hAnsi="黑体" w:eastAsia="黑体" w:cs="宋体"/>
                <w:kern w:val="0"/>
                <w:sz w:val="20"/>
                <w:szCs w:val="20"/>
              </w:rPr>
            </w:pPr>
            <w:r>
              <w:rPr>
                <w:rFonts w:hint="eastAsia" w:ascii="黑体" w:hAnsi="黑体" w:eastAsia="黑体" w:cs="宋体"/>
                <w:kern w:val="0"/>
                <w:sz w:val="20"/>
                <w:szCs w:val="20"/>
              </w:rPr>
              <w:t>动脉硬化检测</w:t>
            </w:r>
          </w:p>
        </w:tc>
        <w:tc>
          <w:tcPr>
            <w:tcW w:w="640"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20"/>
                <w:szCs w:val="20"/>
              </w:rPr>
            </w:pPr>
            <w:r>
              <w:rPr>
                <w:rFonts w:hint="eastAsia" w:ascii="黑体" w:hAnsi="黑体" w:eastAsia="黑体" w:cs="宋体"/>
                <w:kern w:val="0"/>
                <w:sz w:val="20"/>
                <w:szCs w:val="20"/>
              </w:rPr>
              <w:t>●</w:t>
            </w:r>
          </w:p>
        </w:tc>
        <w:tc>
          <w:tcPr>
            <w:tcW w:w="640"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20"/>
                <w:szCs w:val="20"/>
              </w:rPr>
            </w:pPr>
            <w:r>
              <w:rPr>
                <w:rFonts w:hint="eastAsia" w:ascii="黑体" w:hAnsi="黑体" w:eastAsia="黑体" w:cs="宋体"/>
                <w:kern w:val="0"/>
                <w:sz w:val="20"/>
                <w:szCs w:val="20"/>
              </w:rPr>
              <w:t>●</w:t>
            </w:r>
          </w:p>
        </w:tc>
        <w:tc>
          <w:tcPr>
            <w:tcW w:w="640"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20"/>
                <w:szCs w:val="20"/>
              </w:rPr>
            </w:pPr>
            <w:r>
              <w:rPr>
                <w:rFonts w:hint="eastAsia" w:ascii="黑体" w:hAnsi="黑体" w:eastAsia="黑体" w:cs="宋体"/>
                <w:kern w:val="0"/>
                <w:sz w:val="20"/>
                <w:szCs w:val="20"/>
              </w:rPr>
              <w:t>●</w:t>
            </w:r>
          </w:p>
        </w:tc>
        <w:tc>
          <w:tcPr>
            <w:tcW w:w="5820" w:type="dxa"/>
            <w:tcBorders>
              <w:top w:val="nil"/>
              <w:left w:val="nil"/>
              <w:bottom w:val="single" w:color="auto" w:sz="4" w:space="0"/>
            </w:tcBorders>
            <w:shd w:val="clear" w:color="auto" w:fill="auto"/>
            <w:vAlign w:val="center"/>
          </w:tcPr>
          <w:p>
            <w:pPr>
              <w:widowControl/>
              <w:jc w:val="left"/>
              <w:rPr>
                <w:rFonts w:ascii="黑体" w:hAnsi="黑体" w:eastAsia="黑体" w:cs="宋体"/>
                <w:kern w:val="0"/>
                <w:sz w:val="20"/>
                <w:szCs w:val="20"/>
              </w:rPr>
            </w:pPr>
            <w:r>
              <w:rPr>
                <w:rFonts w:hint="eastAsia" w:ascii="黑体" w:hAnsi="黑体" w:eastAsia="黑体" w:cs="宋体"/>
                <w:kern w:val="0"/>
                <w:sz w:val="20"/>
                <w:szCs w:val="20"/>
              </w:rPr>
              <w:t>可检测出受检者的血管年龄、下肢动脉狭窄或阻塞程度，血管的硬化程度以及心肌功能的状况。</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Layout w:type="fixed"/>
          <w:tblCellMar>
            <w:top w:w="0" w:type="dxa"/>
            <w:left w:w="108" w:type="dxa"/>
            <w:bottom w:w="0" w:type="dxa"/>
            <w:right w:w="108" w:type="dxa"/>
          </w:tblCellMar>
        </w:tblPrEx>
        <w:trPr>
          <w:trHeight w:val="540" w:hRule="atLeast"/>
        </w:trPr>
        <w:tc>
          <w:tcPr>
            <w:tcW w:w="861" w:type="dxa"/>
            <w:vMerge w:val="continue"/>
            <w:tcBorders>
              <w:top w:val="nil"/>
              <w:bottom w:val="single" w:color="auto" w:sz="4" w:space="0"/>
              <w:right w:val="single" w:color="auto" w:sz="4" w:space="0"/>
            </w:tcBorders>
            <w:vAlign w:val="center"/>
          </w:tcPr>
          <w:p>
            <w:pPr>
              <w:widowControl/>
              <w:jc w:val="left"/>
              <w:rPr>
                <w:rFonts w:ascii="黑体" w:hAnsi="黑体" w:eastAsia="黑体" w:cs="宋体"/>
                <w:kern w:val="0"/>
                <w:sz w:val="20"/>
                <w:szCs w:val="20"/>
              </w:rPr>
            </w:pPr>
          </w:p>
        </w:tc>
        <w:tc>
          <w:tcPr>
            <w:tcW w:w="1600" w:type="dxa"/>
            <w:tcBorders>
              <w:top w:val="nil"/>
              <w:left w:val="nil"/>
              <w:bottom w:val="single" w:color="auto" w:sz="4" w:space="0"/>
              <w:right w:val="single" w:color="auto" w:sz="4" w:space="0"/>
            </w:tcBorders>
            <w:shd w:val="clear" w:color="auto" w:fill="auto"/>
            <w:vAlign w:val="center"/>
          </w:tcPr>
          <w:p>
            <w:pPr>
              <w:widowControl/>
              <w:jc w:val="left"/>
              <w:rPr>
                <w:rFonts w:ascii="黑体" w:hAnsi="黑体" w:eastAsia="黑体" w:cs="宋体"/>
                <w:kern w:val="0"/>
                <w:sz w:val="20"/>
                <w:szCs w:val="20"/>
              </w:rPr>
            </w:pPr>
            <w:r>
              <w:rPr>
                <w:rFonts w:hint="eastAsia" w:ascii="黑体" w:hAnsi="黑体" w:eastAsia="黑体" w:cs="宋体"/>
                <w:kern w:val="0"/>
                <w:sz w:val="20"/>
                <w:szCs w:val="20"/>
              </w:rPr>
              <w:t>骨密度检测</w:t>
            </w:r>
          </w:p>
        </w:tc>
        <w:tc>
          <w:tcPr>
            <w:tcW w:w="640"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20"/>
                <w:szCs w:val="20"/>
              </w:rPr>
            </w:pPr>
            <w:r>
              <w:rPr>
                <w:rFonts w:hint="eastAsia" w:ascii="黑体" w:hAnsi="黑体" w:eastAsia="黑体" w:cs="宋体"/>
                <w:kern w:val="0"/>
                <w:sz w:val="20"/>
                <w:szCs w:val="20"/>
              </w:rPr>
              <w:t>●</w:t>
            </w:r>
          </w:p>
        </w:tc>
        <w:tc>
          <w:tcPr>
            <w:tcW w:w="640"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20"/>
                <w:szCs w:val="20"/>
              </w:rPr>
            </w:pPr>
            <w:r>
              <w:rPr>
                <w:rFonts w:hint="eastAsia" w:ascii="黑体" w:hAnsi="黑体" w:eastAsia="黑体" w:cs="宋体"/>
                <w:kern w:val="0"/>
                <w:sz w:val="20"/>
                <w:szCs w:val="20"/>
              </w:rPr>
              <w:t>●</w:t>
            </w:r>
          </w:p>
        </w:tc>
        <w:tc>
          <w:tcPr>
            <w:tcW w:w="640"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20"/>
                <w:szCs w:val="20"/>
              </w:rPr>
            </w:pPr>
            <w:r>
              <w:rPr>
                <w:rFonts w:hint="eastAsia" w:ascii="黑体" w:hAnsi="黑体" w:eastAsia="黑体" w:cs="宋体"/>
                <w:kern w:val="0"/>
                <w:sz w:val="20"/>
                <w:szCs w:val="20"/>
              </w:rPr>
              <w:t>●</w:t>
            </w:r>
          </w:p>
        </w:tc>
        <w:tc>
          <w:tcPr>
            <w:tcW w:w="5820" w:type="dxa"/>
            <w:tcBorders>
              <w:top w:val="nil"/>
              <w:left w:val="nil"/>
              <w:bottom w:val="single" w:color="auto" w:sz="4" w:space="0"/>
            </w:tcBorders>
            <w:shd w:val="clear" w:color="auto" w:fill="auto"/>
            <w:vAlign w:val="center"/>
          </w:tcPr>
          <w:p>
            <w:pPr>
              <w:widowControl/>
              <w:jc w:val="left"/>
              <w:rPr>
                <w:rFonts w:ascii="黑体" w:hAnsi="黑体" w:eastAsia="黑体" w:cs="宋体"/>
                <w:kern w:val="0"/>
                <w:sz w:val="20"/>
                <w:szCs w:val="20"/>
              </w:rPr>
            </w:pPr>
            <w:r>
              <w:rPr>
                <w:rFonts w:hint="eastAsia" w:ascii="黑体" w:hAnsi="黑体" w:eastAsia="黑体" w:cs="宋体"/>
                <w:kern w:val="0"/>
                <w:sz w:val="20"/>
                <w:szCs w:val="20"/>
              </w:rPr>
              <w:t>了解有无骨质疏松及疏松程度，预测骨折的危险性。</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Layout w:type="fixed"/>
        </w:tblPrEx>
        <w:trPr>
          <w:trHeight w:val="960" w:hRule="atLeast"/>
        </w:trPr>
        <w:tc>
          <w:tcPr>
            <w:tcW w:w="2461" w:type="dxa"/>
            <w:gridSpan w:val="2"/>
            <w:tcBorders>
              <w:top w:val="single" w:color="auto" w:sz="4" w:space="0"/>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20"/>
                <w:szCs w:val="20"/>
              </w:rPr>
            </w:pPr>
            <w:r>
              <w:rPr>
                <w:rFonts w:hint="eastAsia" w:ascii="黑体" w:hAnsi="黑体" w:eastAsia="黑体" w:cs="宋体"/>
                <w:kern w:val="0"/>
                <w:sz w:val="20"/>
                <w:szCs w:val="20"/>
              </w:rPr>
              <w:t>中医经络检测</w:t>
            </w:r>
          </w:p>
        </w:tc>
        <w:tc>
          <w:tcPr>
            <w:tcW w:w="640"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20"/>
                <w:szCs w:val="20"/>
              </w:rPr>
            </w:pPr>
            <w:r>
              <w:rPr>
                <w:rFonts w:hint="eastAsia" w:ascii="黑体" w:hAnsi="黑体" w:eastAsia="黑体" w:cs="宋体"/>
                <w:kern w:val="0"/>
                <w:sz w:val="20"/>
                <w:szCs w:val="20"/>
              </w:rPr>
              <w:t>●</w:t>
            </w:r>
          </w:p>
        </w:tc>
        <w:tc>
          <w:tcPr>
            <w:tcW w:w="640"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20"/>
                <w:szCs w:val="20"/>
              </w:rPr>
            </w:pPr>
            <w:r>
              <w:rPr>
                <w:rFonts w:hint="eastAsia" w:ascii="黑体" w:hAnsi="黑体" w:eastAsia="黑体" w:cs="宋体"/>
                <w:kern w:val="0"/>
                <w:sz w:val="20"/>
                <w:szCs w:val="20"/>
              </w:rPr>
              <w:t>●</w:t>
            </w:r>
          </w:p>
        </w:tc>
        <w:tc>
          <w:tcPr>
            <w:tcW w:w="640"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20"/>
                <w:szCs w:val="20"/>
              </w:rPr>
            </w:pPr>
            <w:r>
              <w:rPr>
                <w:rFonts w:hint="eastAsia" w:ascii="黑体" w:hAnsi="黑体" w:eastAsia="黑体" w:cs="宋体"/>
                <w:kern w:val="0"/>
                <w:sz w:val="20"/>
                <w:szCs w:val="20"/>
              </w:rPr>
              <w:t>●</w:t>
            </w:r>
          </w:p>
        </w:tc>
        <w:tc>
          <w:tcPr>
            <w:tcW w:w="5820" w:type="dxa"/>
            <w:tcBorders>
              <w:top w:val="nil"/>
              <w:left w:val="nil"/>
              <w:bottom w:val="single" w:color="auto" w:sz="4" w:space="0"/>
            </w:tcBorders>
            <w:shd w:val="clear" w:color="auto" w:fill="auto"/>
            <w:vAlign w:val="center"/>
          </w:tcPr>
          <w:p>
            <w:pPr>
              <w:widowControl/>
              <w:jc w:val="left"/>
              <w:rPr>
                <w:rFonts w:ascii="黑体" w:hAnsi="黑体" w:eastAsia="黑体" w:cs="宋体"/>
                <w:kern w:val="0"/>
                <w:sz w:val="20"/>
                <w:szCs w:val="20"/>
              </w:rPr>
            </w:pPr>
            <w:r>
              <w:rPr>
                <w:rFonts w:hint="eastAsia" w:ascii="黑体" w:hAnsi="黑体" w:eastAsia="黑体" w:cs="宋体"/>
                <w:kern w:val="0"/>
                <w:sz w:val="20"/>
                <w:szCs w:val="20"/>
              </w:rPr>
              <w:t>对受检者的健康状况和主要问题做出单经和综合分析，迅速检测出人体的健康状况，包括脏腑经络、体能元气、精神压力、阴阳气血、筋骨及心血管、肿瘤、内分泌系统的疾病和亚健康等人体各方面的健康状况，并提出经络养生保健方案。</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Layout w:type="fixed"/>
          <w:tblCellMar>
            <w:top w:w="0" w:type="dxa"/>
            <w:left w:w="108" w:type="dxa"/>
            <w:bottom w:w="0" w:type="dxa"/>
            <w:right w:w="108" w:type="dxa"/>
          </w:tblCellMar>
        </w:tblPrEx>
        <w:trPr>
          <w:trHeight w:val="540" w:hRule="atLeast"/>
        </w:trPr>
        <w:tc>
          <w:tcPr>
            <w:tcW w:w="2461" w:type="dxa"/>
            <w:gridSpan w:val="2"/>
            <w:vMerge w:val="restart"/>
            <w:tcBorders>
              <w:top w:val="single" w:color="auto" w:sz="4" w:space="0"/>
              <w:bottom w:val="single" w:color="000000" w:sz="4" w:space="0"/>
              <w:right w:val="nil"/>
            </w:tcBorders>
            <w:shd w:val="clear" w:color="000000" w:fill="FFFF00"/>
            <w:vAlign w:val="center"/>
          </w:tcPr>
          <w:p>
            <w:pPr>
              <w:widowControl/>
              <w:jc w:val="center"/>
              <w:rPr>
                <w:rFonts w:ascii="黑体" w:hAnsi="黑体" w:eastAsia="黑体" w:cs="宋体"/>
                <w:kern w:val="0"/>
                <w:sz w:val="20"/>
                <w:szCs w:val="20"/>
              </w:rPr>
            </w:pPr>
            <w:r>
              <w:rPr>
                <w:rFonts w:hint="eastAsia" w:ascii="黑体" w:hAnsi="黑体" w:eastAsia="黑体" w:cs="宋体"/>
                <w:kern w:val="0"/>
                <w:sz w:val="20"/>
                <w:szCs w:val="20"/>
              </w:rPr>
              <w:br w:type="textWrapping"/>
            </w:r>
            <w:r>
              <w:rPr>
                <w:rFonts w:hint="eastAsia" w:ascii="黑体" w:hAnsi="黑体" w:eastAsia="黑体" w:cs="宋体"/>
                <w:kern w:val="0"/>
                <w:sz w:val="36"/>
                <w:szCs w:val="36"/>
              </w:rPr>
              <w:t>CT检查（头颅）或</w:t>
            </w:r>
            <w:r>
              <w:rPr>
                <w:rFonts w:hint="eastAsia" w:ascii="黑体" w:hAnsi="黑体" w:eastAsia="黑体" w:cs="宋体"/>
                <w:kern w:val="0"/>
                <w:sz w:val="36"/>
                <w:szCs w:val="36"/>
              </w:rPr>
              <w:br w:type="textWrapping"/>
            </w:r>
            <w:r>
              <w:rPr>
                <w:rFonts w:hint="eastAsia" w:ascii="黑体" w:hAnsi="黑体" w:eastAsia="黑体" w:cs="宋体"/>
                <w:kern w:val="0"/>
                <w:sz w:val="36"/>
                <w:szCs w:val="36"/>
              </w:rPr>
              <w:t>CT检查（胸部）</w:t>
            </w:r>
          </w:p>
        </w:tc>
        <w:tc>
          <w:tcPr>
            <w:tcW w:w="640" w:type="dxa"/>
            <w:vMerge w:val="restart"/>
            <w:tcBorders>
              <w:top w:val="nil"/>
              <w:left w:val="single" w:color="auto" w:sz="4" w:space="0"/>
              <w:bottom w:val="single" w:color="auto" w:sz="4" w:space="0"/>
              <w:right w:val="single" w:color="auto" w:sz="4" w:space="0"/>
            </w:tcBorders>
            <w:shd w:val="clear" w:color="000000" w:fill="FFFF00"/>
            <w:vAlign w:val="center"/>
          </w:tcPr>
          <w:p>
            <w:pPr>
              <w:widowControl/>
              <w:jc w:val="center"/>
              <w:rPr>
                <w:rFonts w:ascii="黑体" w:hAnsi="黑体" w:eastAsia="黑体" w:cs="宋体"/>
                <w:kern w:val="0"/>
                <w:sz w:val="20"/>
                <w:szCs w:val="20"/>
              </w:rPr>
            </w:pPr>
            <w:r>
              <w:rPr>
                <w:rFonts w:hint="eastAsia" w:ascii="黑体" w:hAnsi="黑体" w:eastAsia="黑体" w:cs="宋体"/>
                <w:kern w:val="0"/>
                <w:sz w:val="20"/>
                <w:szCs w:val="20"/>
              </w:rPr>
              <w:t>　</w:t>
            </w:r>
          </w:p>
        </w:tc>
        <w:tc>
          <w:tcPr>
            <w:tcW w:w="640" w:type="dxa"/>
            <w:vMerge w:val="restart"/>
            <w:tcBorders>
              <w:top w:val="nil"/>
              <w:left w:val="single" w:color="auto" w:sz="4" w:space="0"/>
              <w:bottom w:val="single" w:color="auto" w:sz="4" w:space="0"/>
              <w:right w:val="single" w:color="auto" w:sz="4" w:space="0"/>
            </w:tcBorders>
            <w:shd w:val="clear" w:color="000000" w:fill="FFFF00"/>
            <w:vAlign w:val="center"/>
          </w:tcPr>
          <w:p>
            <w:pPr>
              <w:widowControl/>
              <w:jc w:val="center"/>
              <w:rPr>
                <w:rFonts w:ascii="黑体" w:hAnsi="黑体" w:eastAsia="黑体" w:cs="宋体"/>
                <w:kern w:val="0"/>
                <w:sz w:val="20"/>
                <w:szCs w:val="20"/>
              </w:rPr>
            </w:pPr>
            <w:r>
              <w:rPr>
                <w:rFonts w:hint="eastAsia" w:ascii="黑体" w:hAnsi="黑体" w:eastAsia="黑体" w:cs="宋体"/>
                <w:kern w:val="0"/>
                <w:sz w:val="20"/>
                <w:szCs w:val="20"/>
              </w:rPr>
              <w:t>　</w:t>
            </w:r>
          </w:p>
        </w:tc>
        <w:tc>
          <w:tcPr>
            <w:tcW w:w="640" w:type="dxa"/>
            <w:vMerge w:val="restart"/>
            <w:tcBorders>
              <w:top w:val="nil"/>
              <w:left w:val="single" w:color="auto" w:sz="4" w:space="0"/>
              <w:bottom w:val="single" w:color="auto" w:sz="4" w:space="0"/>
              <w:right w:val="single" w:color="auto" w:sz="4" w:space="0"/>
            </w:tcBorders>
            <w:shd w:val="clear" w:color="000000" w:fill="FFFF00"/>
            <w:vAlign w:val="center"/>
          </w:tcPr>
          <w:p>
            <w:pPr>
              <w:widowControl/>
              <w:jc w:val="center"/>
              <w:rPr>
                <w:rFonts w:ascii="黑体" w:hAnsi="黑体" w:eastAsia="黑体" w:cs="宋体"/>
                <w:kern w:val="0"/>
                <w:sz w:val="20"/>
                <w:szCs w:val="20"/>
              </w:rPr>
            </w:pPr>
            <w:r>
              <w:rPr>
                <w:rFonts w:hint="eastAsia" w:ascii="黑体" w:hAnsi="黑体" w:eastAsia="黑体" w:cs="宋体"/>
                <w:kern w:val="0"/>
                <w:sz w:val="20"/>
                <w:szCs w:val="20"/>
              </w:rPr>
              <w:t>　</w:t>
            </w:r>
          </w:p>
        </w:tc>
        <w:tc>
          <w:tcPr>
            <w:tcW w:w="5820" w:type="dxa"/>
            <w:vMerge w:val="restart"/>
            <w:tcBorders>
              <w:top w:val="nil"/>
              <w:left w:val="single" w:color="auto" w:sz="4" w:space="0"/>
              <w:bottom w:val="single" w:color="auto" w:sz="4" w:space="0"/>
            </w:tcBorders>
            <w:shd w:val="clear" w:color="000000" w:fill="FFFF00"/>
            <w:vAlign w:val="center"/>
          </w:tcPr>
          <w:p>
            <w:pPr>
              <w:widowControl/>
              <w:jc w:val="left"/>
              <w:rPr>
                <w:rFonts w:ascii="黑体" w:hAnsi="黑体" w:eastAsia="黑体" w:cs="宋体"/>
                <w:kern w:val="0"/>
                <w:sz w:val="20"/>
                <w:szCs w:val="20"/>
              </w:rPr>
            </w:pPr>
            <w:r>
              <w:rPr>
                <w:rFonts w:hint="eastAsia" w:ascii="黑体" w:hAnsi="黑体" w:eastAsia="黑体" w:cs="宋体"/>
                <w:kern w:val="0"/>
                <w:sz w:val="20"/>
                <w:szCs w:val="20"/>
              </w:rPr>
              <w:t xml:space="preserve">    头颅CT是脑科中非常重要而且非常常用的检查之一，对于诊断颅脑疾病如外伤、肿瘤、炎症、血管病变、中毒、变性等有着重要意义。颅脑的CT检查是通过CT对颅脑进行检查的一种方法。</w:t>
            </w:r>
            <w:r>
              <w:rPr>
                <w:rFonts w:hint="eastAsia" w:ascii="黑体" w:hAnsi="黑体" w:eastAsia="黑体" w:cs="宋体"/>
                <w:kern w:val="0"/>
                <w:sz w:val="20"/>
                <w:szCs w:val="20"/>
              </w:rPr>
              <w:br w:type="textWrapping"/>
            </w:r>
            <w:r>
              <w:rPr>
                <w:rFonts w:hint="eastAsia" w:ascii="黑体" w:hAnsi="黑体" w:eastAsia="黑体" w:cs="宋体"/>
                <w:kern w:val="0"/>
                <w:sz w:val="20"/>
                <w:szCs w:val="20"/>
              </w:rPr>
              <w:t xml:space="preserve">    总体上讲，CT对人体硬组织的显像要比软组织的更好。头颅CT检查对于颅内、颅骨、头皮的大部分疾病的诊断有重要意义(包括外伤、肿瘤、炎症、血管病变、中毒、变性和代谢性疾病等)。 </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Layout w:type="fixed"/>
          <w:tblCellMar>
            <w:top w:w="0" w:type="dxa"/>
            <w:left w:w="108" w:type="dxa"/>
            <w:bottom w:w="0" w:type="dxa"/>
            <w:right w:w="108" w:type="dxa"/>
          </w:tblCellMar>
        </w:tblPrEx>
        <w:trPr>
          <w:trHeight w:val="1182" w:hRule="atLeast"/>
        </w:trPr>
        <w:tc>
          <w:tcPr>
            <w:tcW w:w="2461" w:type="dxa"/>
            <w:gridSpan w:val="2"/>
            <w:vMerge w:val="continue"/>
            <w:tcBorders>
              <w:top w:val="single" w:color="auto" w:sz="4" w:space="0"/>
              <w:bottom w:val="single" w:color="000000" w:sz="4" w:space="0"/>
              <w:right w:val="nil"/>
            </w:tcBorders>
            <w:vAlign w:val="center"/>
          </w:tcPr>
          <w:p>
            <w:pPr>
              <w:widowControl/>
              <w:jc w:val="left"/>
              <w:rPr>
                <w:rFonts w:ascii="黑体" w:hAnsi="黑体" w:eastAsia="黑体" w:cs="宋体"/>
                <w:kern w:val="0"/>
                <w:sz w:val="20"/>
                <w:szCs w:val="20"/>
              </w:rPr>
            </w:pPr>
          </w:p>
        </w:tc>
        <w:tc>
          <w:tcPr>
            <w:tcW w:w="640" w:type="dxa"/>
            <w:vMerge w:val="continue"/>
            <w:tcBorders>
              <w:top w:val="nil"/>
              <w:left w:val="single" w:color="auto" w:sz="4" w:space="0"/>
              <w:bottom w:val="single" w:color="auto" w:sz="4" w:space="0"/>
              <w:right w:val="single" w:color="auto" w:sz="4" w:space="0"/>
            </w:tcBorders>
            <w:vAlign w:val="center"/>
          </w:tcPr>
          <w:p>
            <w:pPr>
              <w:widowControl/>
              <w:jc w:val="left"/>
              <w:rPr>
                <w:rFonts w:ascii="黑体" w:hAnsi="黑体" w:eastAsia="黑体" w:cs="宋体"/>
                <w:kern w:val="0"/>
                <w:sz w:val="20"/>
                <w:szCs w:val="20"/>
              </w:rPr>
            </w:pPr>
          </w:p>
        </w:tc>
        <w:tc>
          <w:tcPr>
            <w:tcW w:w="640" w:type="dxa"/>
            <w:vMerge w:val="continue"/>
            <w:tcBorders>
              <w:top w:val="nil"/>
              <w:left w:val="single" w:color="auto" w:sz="4" w:space="0"/>
              <w:bottom w:val="single" w:color="auto" w:sz="4" w:space="0"/>
              <w:right w:val="single" w:color="auto" w:sz="4" w:space="0"/>
            </w:tcBorders>
            <w:vAlign w:val="center"/>
          </w:tcPr>
          <w:p>
            <w:pPr>
              <w:widowControl/>
              <w:jc w:val="left"/>
              <w:rPr>
                <w:rFonts w:ascii="黑体" w:hAnsi="黑体" w:eastAsia="黑体" w:cs="宋体"/>
                <w:kern w:val="0"/>
                <w:sz w:val="20"/>
                <w:szCs w:val="20"/>
              </w:rPr>
            </w:pPr>
          </w:p>
        </w:tc>
        <w:tc>
          <w:tcPr>
            <w:tcW w:w="640" w:type="dxa"/>
            <w:vMerge w:val="continue"/>
            <w:tcBorders>
              <w:top w:val="nil"/>
              <w:left w:val="single" w:color="auto" w:sz="4" w:space="0"/>
              <w:bottom w:val="single" w:color="auto" w:sz="4" w:space="0"/>
              <w:right w:val="single" w:color="auto" w:sz="4" w:space="0"/>
            </w:tcBorders>
            <w:vAlign w:val="center"/>
          </w:tcPr>
          <w:p>
            <w:pPr>
              <w:widowControl/>
              <w:jc w:val="left"/>
              <w:rPr>
                <w:rFonts w:ascii="黑体" w:hAnsi="黑体" w:eastAsia="黑体" w:cs="宋体"/>
                <w:kern w:val="0"/>
                <w:sz w:val="20"/>
                <w:szCs w:val="20"/>
              </w:rPr>
            </w:pPr>
          </w:p>
        </w:tc>
        <w:tc>
          <w:tcPr>
            <w:tcW w:w="5820" w:type="dxa"/>
            <w:vMerge w:val="continue"/>
            <w:tcBorders>
              <w:top w:val="nil"/>
              <w:left w:val="single" w:color="auto" w:sz="4" w:space="0"/>
              <w:bottom w:val="single" w:color="auto" w:sz="4" w:space="0"/>
            </w:tcBorders>
            <w:vAlign w:val="center"/>
          </w:tcPr>
          <w:p>
            <w:pPr>
              <w:widowControl/>
              <w:jc w:val="left"/>
              <w:rPr>
                <w:rFonts w:ascii="黑体" w:hAnsi="黑体" w:eastAsia="黑体" w:cs="宋体"/>
                <w:kern w:val="0"/>
                <w:sz w:val="20"/>
                <w:szCs w:val="20"/>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Layout w:type="fixed"/>
          <w:tblCellMar>
            <w:top w:w="0" w:type="dxa"/>
            <w:left w:w="108" w:type="dxa"/>
            <w:bottom w:w="0" w:type="dxa"/>
            <w:right w:w="108" w:type="dxa"/>
          </w:tblCellMar>
        </w:tblPrEx>
        <w:trPr>
          <w:trHeight w:val="3840" w:hRule="atLeast"/>
        </w:trPr>
        <w:tc>
          <w:tcPr>
            <w:tcW w:w="2461" w:type="dxa"/>
            <w:gridSpan w:val="2"/>
            <w:vMerge w:val="continue"/>
            <w:tcBorders>
              <w:top w:val="single" w:color="auto" w:sz="4" w:space="0"/>
              <w:right w:val="nil"/>
            </w:tcBorders>
            <w:vAlign w:val="center"/>
          </w:tcPr>
          <w:p>
            <w:pPr>
              <w:widowControl/>
              <w:jc w:val="left"/>
              <w:rPr>
                <w:rFonts w:ascii="黑体" w:hAnsi="黑体" w:eastAsia="黑体" w:cs="宋体"/>
                <w:kern w:val="0"/>
                <w:sz w:val="20"/>
                <w:szCs w:val="20"/>
              </w:rPr>
            </w:pPr>
          </w:p>
        </w:tc>
        <w:tc>
          <w:tcPr>
            <w:tcW w:w="640" w:type="dxa"/>
            <w:tcBorders>
              <w:top w:val="nil"/>
              <w:left w:val="single" w:color="auto" w:sz="4" w:space="0"/>
              <w:right w:val="single" w:color="auto" w:sz="4" w:space="0"/>
            </w:tcBorders>
            <w:shd w:val="clear" w:color="000000" w:fill="FFFF00"/>
            <w:vAlign w:val="center"/>
          </w:tcPr>
          <w:p>
            <w:pPr>
              <w:widowControl/>
              <w:jc w:val="center"/>
              <w:rPr>
                <w:rFonts w:ascii="黑体" w:hAnsi="黑体" w:eastAsia="黑体" w:cs="宋体"/>
                <w:kern w:val="0"/>
                <w:sz w:val="20"/>
                <w:szCs w:val="20"/>
              </w:rPr>
            </w:pPr>
            <w:r>
              <w:rPr>
                <w:rFonts w:hint="eastAsia" w:ascii="黑体" w:hAnsi="黑体" w:eastAsia="黑体" w:cs="宋体"/>
                <w:kern w:val="0"/>
                <w:sz w:val="20"/>
                <w:szCs w:val="20"/>
              </w:rPr>
              <w:t>●</w:t>
            </w:r>
          </w:p>
        </w:tc>
        <w:tc>
          <w:tcPr>
            <w:tcW w:w="640" w:type="dxa"/>
            <w:tcBorders>
              <w:top w:val="nil"/>
              <w:left w:val="nil"/>
              <w:right w:val="single" w:color="auto" w:sz="4" w:space="0"/>
            </w:tcBorders>
            <w:shd w:val="clear" w:color="000000" w:fill="FFFF00"/>
            <w:vAlign w:val="center"/>
          </w:tcPr>
          <w:p>
            <w:pPr>
              <w:widowControl/>
              <w:jc w:val="center"/>
              <w:rPr>
                <w:rFonts w:ascii="黑体" w:hAnsi="黑体" w:eastAsia="黑体" w:cs="宋体"/>
                <w:kern w:val="0"/>
                <w:sz w:val="20"/>
                <w:szCs w:val="20"/>
              </w:rPr>
            </w:pPr>
            <w:r>
              <w:rPr>
                <w:rFonts w:hint="eastAsia" w:ascii="黑体" w:hAnsi="黑体" w:eastAsia="黑体" w:cs="宋体"/>
                <w:kern w:val="0"/>
                <w:sz w:val="20"/>
                <w:szCs w:val="20"/>
              </w:rPr>
              <w:t>●</w:t>
            </w:r>
          </w:p>
        </w:tc>
        <w:tc>
          <w:tcPr>
            <w:tcW w:w="640" w:type="dxa"/>
            <w:tcBorders>
              <w:top w:val="nil"/>
              <w:left w:val="nil"/>
              <w:right w:val="single" w:color="auto" w:sz="4" w:space="0"/>
            </w:tcBorders>
            <w:shd w:val="clear" w:color="000000" w:fill="FFFF00"/>
            <w:vAlign w:val="center"/>
          </w:tcPr>
          <w:p>
            <w:pPr>
              <w:widowControl/>
              <w:jc w:val="center"/>
              <w:rPr>
                <w:rFonts w:ascii="黑体" w:hAnsi="黑体" w:eastAsia="黑体" w:cs="宋体"/>
                <w:kern w:val="0"/>
                <w:sz w:val="20"/>
                <w:szCs w:val="20"/>
              </w:rPr>
            </w:pPr>
            <w:r>
              <w:rPr>
                <w:rFonts w:hint="eastAsia" w:ascii="黑体" w:hAnsi="黑体" w:eastAsia="黑体" w:cs="宋体"/>
                <w:kern w:val="0"/>
                <w:sz w:val="20"/>
                <w:szCs w:val="20"/>
              </w:rPr>
              <w:t>●</w:t>
            </w:r>
          </w:p>
        </w:tc>
        <w:tc>
          <w:tcPr>
            <w:tcW w:w="5820" w:type="dxa"/>
            <w:tcBorders>
              <w:top w:val="nil"/>
              <w:left w:val="nil"/>
            </w:tcBorders>
            <w:shd w:val="clear" w:color="000000" w:fill="FFFF00"/>
            <w:vAlign w:val="center"/>
          </w:tcPr>
          <w:p>
            <w:pPr>
              <w:widowControl/>
              <w:jc w:val="center"/>
              <w:rPr>
                <w:rFonts w:ascii="黑体" w:hAnsi="黑体" w:eastAsia="黑体" w:cs="宋体"/>
                <w:kern w:val="0"/>
                <w:sz w:val="20"/>
                <w:szCs w:val="20"/>
              </w:rPr>
            </w:pPr>
            <w:r>
              <w:rPr>
                <w:rFonts w:hint="eastAsia" w:ascii="黑体" w:hAnsi="黑体" w:eastAsia="黑体" w:cs="宋体"/>
                <w:kern w:val="0"/>
                <w:sz w:val="20"/>
                <w:szCs w:val="20"/>
              </w:rPr>
              <w:t xml:space="preserve">    国际公认的目前诊断早期肺癌的最有效手段---低剂量螺旋CT，对肺部进行立体检测，不遗漏任何一个角落，直径约0.5cm的肺部肿瘤都可清洗检测成像，其肺癌诊出率约为胸片的10倍，更有利于早期肺癌的发现。检查双肺，纵隔有无疾病，以确定病变的部位大小，密度，与周边组织关系。</w:t>
            </w:r>
            <w:r>
              <w:rPr>
                <w:rFonts w:hint="eastAsia" w:ascii="黑体" w:hAnsi="黑体" w:eastAsia="黑体" w:cs="宋体"/>
                <w:kern w:val="0"/>
                <w:sz w:val="20"/>
                <w:szCs w:val="20"/>
              </w:rPr>
              <w:br w:type="textWrapping"/>
            </w:r>
            <w:r>
              <w:rPr>
                <w:rFonts w:hint="eastAsia" w:ascii="黑体" w:hAnsi="黑体" w:eastAsia="黑体" w:cs="宋体"/>
                <w:kern w:val="0"/>
                <w:sz w:val="20"/>
                <w:szCs w:val="20"/>
              </w:rPr>
              <w:t xml:space="preserve">    低剂量螺旋CT对肺部筛查有助于发现早期肺癌，特别是周围型非小细胞肺癌，其诊出率约为胸片的10倍。同时，大大降低了肺癌患者的死亡率。因其较少的辐射量，有效的降低了医源性辐射引起恶性病变的风险。虽然低剂量螺旋CT对肺癌筛查还存在一定的局限性，但综合各方面因素，低剂量螺旋CT是早期肺癌筛查的最佳方法。</w:t>
            </w:r>
            <w:r>
              <w:rPr>
                <w:rFonts w:hint="eastAsia" w:ascii="黑体" w:hAnsi="黑体" w:eastAsia="黑体" w:cs="宋体"/>
                <w:kern w:val="0"/>
                <w:sz w:val="20"/>
                <w:szCs w:val="20"/>
              </w:rPr>
              <w:br w:type="textWrapping"/>
            </w:r>
            <w:r>
              <w:rPr>
                <w:rFonts w:hint="eastAsia" w:ascii="黑体" w:hAnsi="黑体" w:eastAsia="黑体" w:cs="宋体"/>
                <w:kern w:val="0"/>
                <w:sz w:val="20"/>
                <w:szCs w:val="20"/>
              </w:rPr>
              <w:t xml:space="preserve">    且低剂量螺旋CT与常规剂量CT比较既满足了图像的诊断要求，又降低了X线辐射剂量。（减少88%的射线，对体检者进行最大程度的剂量保护）符合国际放射线防护委员会（ICRP）对辐射防护正当化及最优化的要求。</w:t>
            </w:r>
          </w:p>
        </w:tc>
      </w:tr>
    </w:tbl>
    <w:p>
      <w:pPr>
        <w:rPr>
          <w:b/>
          <w:sz w:val="24"/>
          <w:szCs w:val="24"/>
          <w:u w:val="single"/>
        </w:rPr>
      </w:pPr>
    </w:p>
    <w:p>
      <w:pPr>
        <w:rPr>
          <w:b/>
          <w:sz w:val="24"/>
          <w:szCs w:val="24"/>
          <w:u w:val="single"/>
        </w:rPr>
      </w:pPr>
    </w:p>
    <w:tbl>
      <w:tblPr>
        <w:tblStyle w:val="5"/>
        <w:tblW w:w="10207" w:type="dxa"/>
        <w:tblInd w:w="250" w:type="dxa"/>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916"/>
        <w:gridCol w:w="2355"/>
        <w:gridCol w:w="640"/>
        <w:gridCol w:w="640"/>
        <w:gridCol w:w="640"/>
        <w:gridCol w:w="5016"/>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885" w:hRule="atLeast"/>
        </w:trPr>
        <w:tc>
          <w:tcPr>
            <w:tcW w:w="10207" w:type="dxa"/>
            <w:gridSpan w:val="6"/>
            <w:shd w:val="clear" w:color="auto" w:fill="auto"/>
            <w:vAlign w:val="center"/>
          </w:tcPr>
          <w:p>
            <w:pPr>
              <w:widowControl/>
              <w:jc w:val="center"/>
              <w:rPr>
                <w:rFonts w:ascii="宋体" w:hAnsi="宋体" w:eastAsia="宋体" w:cs="宋体"/>
                <w:b/>
                <w:bCs/>
                <w:color w:val="10243F" w:themeColor="text2" w:themeShade="80"/>
                <w:kern w:val="0"/>
                <w:sz w:val="72"/>
                <w:szCs w:val="72"/>
              </w:rPr>
            </w:pPr>
            <w:r>
              <w:rPr>
                <w:rFonts w:hint="eastAsia" w:ascii="黑体" w:hAnsi="黑体" w:eastAsia="黑体" w:cs="黑体"/>
                <w:b/>
                <w:bCs/>
                <w:color w:val="00B050"/>
                <w:kern w:val="0"/>
                <w:sz w:val="56"/>
                <w:szCs w:val="56"/>
              </w:rPr>
              <w:t>3550精准</w:t>
            </w:r>
            <w:r>
              <w:rPr>
                <w:rFonts w:hint="eastAsia" w:ascii="黑体" w:hAnsi="黑体" w:eastAsia="黑体" w:cs="黑体"/>
                <w:b/>
                <w:bCs/>
                <w:color w:val="00B050"/>
                <w:kern w:val="0"/>
                <w:sz w:val="56"/>
                <w:szCs w:val="56"/>
                <w:lang w:eastAsia="zh-CN"/>
              </w:rPr>
              <w:t>体检</w:t>
            </w:r>
            <w:r>
              <w:rPr>
                <w:rFonts w:hint="eastAsia" w:ascii="黑体" w:hAnsi="黑体" w:eastAsia="黑体" w:cs="黑体"/>
                <w:b/>
                <w:bCs/>
                <w:color w:val="00B050"/>
                <w:kern w:val="0"/>
                <w:sz w:val="56"/>
                <w:szCs w:val="56"/>
              </w:rPr>
              <w:t>套餐</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300" w:hRule="atLeast"/>
        </w:trPr>
        <w:tc>
          <w:tcPr>
            <w:tcW w:w="3271" w:type="dxa"/>
            <w:gridSpan w:val="2"/>
            <w:vMerge w:val="restart"/>
            <w:shd w:val="clear" w:color="000000" w:fill="C0C0C0"/>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常规科室</w:t>
            </w:r>
          </w:p>
        </w:tc>
        <w:tc>
          <w:tcPr>
            <w:tcW w:w="640" w:type="dxa"/>
            <w:vMerge w:val="restart"/>
            <w:shd w:val="clear" w:color="000000" w:fill="C0C0C0"/>
            <w:vAlign w:val="center"/>
          </w:tcPr>
          <w:p>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男性</w:t>
            </w:r>
          </w:p>
        </w:tc>
        <w:tc>
          <w:tcPr>
            <w:tcW w:w="1280" w:type="dxa"/>
            <w:gridSpan w:val="2"/>
            <w:shd w:val="clear" w:color="000000" w:fill="C0C0C0"/>
            <w:vAlign w:val="center"/>
          </w:tcPr>
          <w:p>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女性</w:t>
            </w:r>
          </w:p>
        </w:tc>
        <w:tc>
          <w:tcPr>
            <w:tcW w:w="5016" w:type="dxa"/>
            <w:vMerge w:val="restart"/>
            <w:shd w:val="clear" w:color="000000" w:fill="C0C0C0"/>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功能意义</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300" w:hRule="atLeast"/>
        </w:trPr>
        <w:tc>
          <w:tcPr>
            <w:tcW w:w="3271" w:type="dxa"/>
            <w:gridSpan w:val="2"/>
            <w:vMerge w:val="continue"/>
            <w:vAlign w:val="center"/>
          </w:tcPr>
          <w:p>
            <w:pPr>
              <w:widowControl/>
              <w:jc w:val="left"/>
              <w:rPr>
                <w:rFonts w:ascii="宋体" w:hAnsi="宋体" w:eastAsia="宋体" w:cs="宋体"/>
                <w:b/>
                <w:bCs/>
                <w:kern w:val="0"/>
                <w:sz w:val="22"/>
              </w:rPr>
            </w:pPr>
          </w:p>
        </w:tc>
        <w:tc>
          <w:tcPr>
            <w:tcW w:w="640" w:type="dxa"/>
            <w:vMerge w:val="continue"/>
            <w:vAlign w:val="center"/>
          </w:tcPr>
          <w:p>
            <w:pPr>
              <w:widowControl/>
              <w:jc w:val="left"/>
              <w:rPr>
                <w:rFonts w:ascii="宋体" w:hAnsi="宋体" w:eastAsia="宋体" w:cs="宋体"/>
                <w:b/>
                <w:bCs/>
                <w:kern w:val="0"/>
                <w:sz w:val="18"/>
                <w:szCs w:val="18"/>
              </w:rPr>
            </w:pPr>
          </w:p>
        </w:tc>
        <w:tc>
          <w:tcPr>
            <w:tcW w:w="640" w:type="dxa"/>
            <w:shd w:val="clear" w:color="000000" w:fill="C0C0C0"/>
            <w:vAlign w:val="center"/>
          </w:tcPr>
          <w:p>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未婚</w:t>
            </w:r>
          </w:p>
        </w:tc>
        <w:tc>
          <w:tcPr>
            <w:tcW w:w="640" w:type="dxa"/>
            <w:shd w:val="clear" w:color="000000" w:fill="C0C0C0"/>
            <w:vAlign w:val="center"/>
          </w:tcPr>
          <w:p>
            <w:pPr>
              <w:widowControl/>
              <w:jc w:val="center"/>
              <w:rPr>
                <w:rFonts w:ascii="宋体" w:hAnsi="宋体" w:eastAsia="宋体" w:cs="宋体"/>
                <w:b/>
                <w:bCs/>
                <w:kern w:val="0"/>
                <w:sz w:val="18"/>
                <w:szCs w:val="18"/>
              </w:rPr>
            </w:pPr>
            <w:r>
              <w:rPr>
                <w:rFonts w:hint="eastAsia" w:ascii="宋体" w:hAnsi="宋体" w:eastAsia="宋体" w:cs="宋体"/>
                <w:b/>
                <w:bCs/>
                <w:kern w:val="0"/>
                <w:sz w:val="18"/>
                <w:szCs w:val="18"/>
              </w:rPr>
              <w:t>已婚</w:t>
            </w:r>
          </w:p>
        </w:tc>
        <w:tc>
          <w:tcPr>
            <w:tcW w:w="5016" w:type="dxa"/>
            <w:vMerge w:val="continue"/>
            <w:vAlign w:val="center"/>
          </w:tcPr>
          <w:p>
            <w:pPr>
              <w:widowControl/>
              <w:jc w:val="left"/>
              <w:rPr>
                <w:rFonts w:ascii="宋体" w:hAnsi="宋体" w:eastAsia="宋体" w:cs="宋体"/>
                <w:b/>
                <w:bCs/>
                <w:kern w:val="0"/>
                <w:sz w:val="22"/>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285" w:hRule="atLeast"/>
        </w:trPr>
        <w:tc>
          <w:tcPr>
            <w:tcW w:w="916" w:type="dxa"/>
            <w:vMerge w:val="restart"/>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一般检查1</w:t>
            </w:r>
          </w:p>
        </w:tc>
        <w:tc>
          <w:tcPr>
            <w:tcW w:w="2355" w:type="dxa"/>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身高</w:t>
            </w:r>
          </w:p>
        </w:tc>
        <w:tc>
          <w:tcPr>
            <w:tcW w:w="640" w:type="dxa"/>
            <w:vMerge w:val="restart"/>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w:t>
            </w:r>
          </w:p>
        </w:tc>
        <w:tc>
          <w:tcPr>
            <w:tcW w:w="640" w:type="dxa"/>
            <w:vMerge w:val="restart"/>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w:t>
            </w:r>
          </w:p>
        </w:tc>
        <w:tc>
          <w:tcPr>
            <w:tcW w:w="640" w:type="dxa"/>
            <w:vMerge w:val="restart"/>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w:t>
            </w:r>
          </w:p>
        </w:tc>
        <w:tc>
          <w:tcPr>
            <w:tcW w:w="5016" w:type="dxa"/>
            <w:vMerge w:val="restart"/>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了解有无血压、脉搏的异常；用身高体重来计算体重指数了解有无超重或肥胖情况。</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300" w:hRule="atLeast"/>
        </w:trPr>
        <w:tc>
          <w:tcPr>
            <w:tcW w:w="916" w:type="dxa"/>
            <w:vMerge w:val="continue"/>
            <w:vAlign w:val="center"/>
          </w:tcPr>
          <w:p>
            <w:pPr>
              <w:widowControl/>
              <w:jc w:val="left"/>
              <w:rPr>
                <w:rFonts w:ascii="宋体" w:hAnsi="宋体" w:eastAsia="宋体" w:cs="宋体"/>
                <w:kern w:val="0"/>
                <w:sz w:val="20"/>
                <w:szCs w:val="20"/>
              </w:rPr>
            </w:pPr>
          </w:p>
        </w:tc>
        <w:tc>
          <w:tcPr>
            <w:tcW w:w="2355" w:type="dxa"/>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体重</w:t>
            </w:r>
          </w:p>
        </w:tc>
        <w:tc>
          <w:tcPr>
            <w:tcW w:w="640" w:type="dxa"/>
            <w:vMerge w:val="continue"/>
            <w:vAlign w:val="center"/>
          </w:tcPr>
          <w:p>
            <w:pPr>
              <w:widowControl/>
              <w:jc w:val="left"/>
              <w:rPr>
                <w:rFonts w:ascii="宋体" w:hAnsi="宋体" w:eastAsia="宋体" w:cs="宋体"/>
                <w:kern w:val="0"/>
                <w:sz w:val="20"/>
                <w:szCs w:val="20"/>
              </w:rPr>
            </w:pPr>
          </w:p>
        </w:tc>
        <w:tc>
          <w:tcPr>
            <w:tcW w:w="640" w:type="dxa"/>
            <w:vMerge w:val="continue"/>
            <w:vAlign w:val="center"/>
          </w:tcPr>
          <w:p>
            <w:pPr>
              <w:widowControl/>
              <w:jc w:val="left"/>
              <w:rPr>
                <w:rFonts w:ascii="宋体" w:hAnsi="宋体" w:eastAsia="宋体" w:cs="宋体"/>
                <w:kern w:val="0"/>
                <w:sz w:val="20"/>
                <w:szCs w:val="20"/>
              </w:rPr>
            </w:pPr>
          </w:p>
        </w:tc>
        <w:tc>
          <w:tcPr>
            <w:tcW w:w="640" w:type="dxa"/>
            <w:vMerge w:val="continue"/>
            <w:vAlign w:val="center"/>
          </w:tcPr>
          <w:p>
            <w:pPr>
              <w:widowControl/>
              <w:jc w:val="left"/>
              <w:rPr>
                <w:rFonts w:ascii="宋体" w:hAnsi="宋体" w:eastAsia="宋体" w:cs="宋体"/>
                <w:kern w:val="0"/>
                <w:sz w:val="20"/>
                <w:szCs w:val="20"/>
              </w:rPr>
            </w:pPr>
          </w:p>
        </w:tc>
        <w:tc>
          <w:tcPr>
            <w:tcW w:w="5016" w:type="dxa"/>
            <w:vMerge w:val="continue"/>
            <w:vAlign w:val="center"/>
          </w:tcPr>
          <w:p>
            <w:pPr>
              <w:widowControl/>
              <w:jc w:val="left"/>
              <w:rPr>
                <w:rFonts w:ascii="宋体" w:hAnsi="宋体" w:eastAsia="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300" w:hRule="atLeast"/>
        </w:trPr>
        <w:tc>
          <w:tcPr>
            <w:tcW w:w="916" w:type="dxa"/>
            <w:vMerge w:val="continue"/>
            <w:vAlign w:val="center"/>
          </w:tcPr>
          <w:p>
            <w:pPr>
              <w:widowControl/>
              <w:jc w:val="left"/>
              <w:rPr>
                <w:rFonts w:ascii="宋体" w:hAnsi="宋体" w:eastAsia="宋体" w:cs="宋体"/>
                <w:kern w:val="0"/>
                <w:sz w:val="20"/>
                <w:szCs w:val="20"/>
              </w:rPr>
            </w:pPr>
          </w:p>
        </w:tc>
        <w:tc>
          <w:tcPr>
            <w:tcW w:w="2355" w:type="dxa"/>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血压</w:t>
            </w:r>
          </w:p>
        </w:tc>
        <w:tc>
          <w:tcPr>
            <w:tcW w:w="640" w:type="dxa"/>
            <w:vMerge w:val="continue"/>
            <w:vAlign w:val="center"/>
          </w:tcPr>
          <w:p>
            <w:pPr>
              <w:widowControl/>
              <w:jc w:val="left"/>
              <w:rPr>
                <w:rFonts w:ascii="宋体" w:hAnsi="宋体" w:eastAsia="宋体" w:cs="宋体"/>
                <w:kern w:val="0"/>
                <w:sz w:val="20"/>
                <w:szCs w:val="20"/>
              </w:rPr>
            </w:pPr>
          </w:p>
        </w:tc>
        <w:tc>
          <w:tcPr>
            <w:tcW w:w="640" w:type="dxa"/>
            <w:vMerge w:val="continue"/>
            <w:vAlign w:val="center"/>
          </w:tcPr>
          <w:p>
            <w:pPr>
              <w:widowControl/>
              <w:jc w:val="left"/>
              <w:rPr>
                <w:rFonts w:ascii="宋体" w:hAnsi="宋体" w:eastAsia="宋体" w:cs="宋体"/>
                <w:kern w:val="0"/>
                <w:sz w:val="20"/>
                <w:szCs w:val="20"/>
              </w:rPr>
            </w:pPr>
          </w:p>
        </w:tc>
        <w:tc>
          <w:tcPr>
            <w:tcW w:w="640" w:type="dxa"/>
            <w:vMerge w:val="continue"/>
            <w:vAlign w:val="center"/>
          </w:tcPr>
          <w:p>
            <w:pPr>
              <w:widowControl/>
              <w:jc w:val="left"/>
              <w:rPr>
                <w:rFonts w:ascii="宋体" w:hAnsi="宋体" w:eastAsia="宋体" w:cs="宋体"/>
                <w:kern w:val="0"/>
                <w:sz w:val="20"/>
                <w:szCs w:val="20"/>
              </w:rPr>
            </w:pPr>
          </w:p>
        </w:tc>
        <w:tc>
          <w:tcPr>
            <w:tcW w:w="5016" w:type="dxa"/>
            <w:vMerge w:val="continue"/>
            <w:vAlign w:val="center"/>
          </w:tcPr>
          <w:p>
            <w:pPr>
              <w:widowControl/>
              <w:jc w:val="left"/>
              <w:rPr>
                <w:rFonts w:ascii="宋体" w:hAnsi="宋体" w:eastAsia="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282" w:hRule="atLeast"/>
        </w:trPr>
        <w:tc>
          <w:tcPr>
            <w:tcW w:w="916" w:type="dxa"/>
            <w:vMerge w:val="continue"/>
            <w:vAlign w:val="center"/>
          </w:tcPr>
          <w:p>
            <w:pPr>
              <w:widowControl/>
              <w:jc w:val="left"/>
              <w:rPr>
                <w:rFonts w:ascii="宋体" w:hAnsi="宋体" w:eastAsia="宋体" w:cs="宋体"/>
                <w:kern w:val="0"/>
                <w:sz w:val="20"/>
                <w:szCs w:val="20"/>
              </w:rPr>
            </w:pPr>
          </w:p>
        </w:tc>
        <w:tc>
          <w:tcPr>
            <w:tcW w:w="2355" w:type="dxa"/>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脉搏</w:t>
            </w:r>
          </w:p>
        </w:tc>
        <w:tc>
          <w:tcPr>
            <w:tcW w:w="640" w:type="dxa"/>
            <w:vMerge w:val="continue"/>
            <w:vAlign w:val="center"/>
          </w:tcPr>
          <w:p>
            <w:pPr>
              <w:widowControl/>
              <w:jc w:val="left"/>
              <w:rPr>
                <w:rFonts w:ascii="宋体" w:hAnsi="宋体" w:eastAsia="宋体" w:cs="宋体"/>
                <w:kern w:val="0"/>
                <w:sz w:val="20"/>
                <w:szCs w:val="20"/>
              </w:rPr>
            </w:pPr>
          </w:p>
        </w:tc>
        <w:tc>
          <w:tcPr>
            <w:tcW w:w="640" w:type="dxa"/>
            <w:vMerge w:val="continue"/>
            <w:vAlign w:val="center"/>
          </w:tcPr>
          <w:p>
            <w:pPr>
              <w:widowControl/>
              <w:jc w:val="left"/>
              <w:rPr>
                <w:rFonts w:ascii="宋体" w:hAnsi="宋体" w:eastAsia="宋体" w:cs="宋体"/>
                <w:kern w:val="0"/>
                <w:sz w:val="20"/>
                <w:szCs w:val="20"/>
              </w:rPr>
            </w:pPr>
          </w:p>
        </w:tc>
        <w:tc>
          <w:tcPr>
            <w:tcW w:w="640" w:type="dxa"/>
            <w:vMerge w:val="continue"/>
            <w:vAlign w:val="center"/>
          </w:tcPr>
          <w:p>
            <w:pPr>
              <w:widowControl/>
              <w:jc w:val="left"/>
              <w:rPr>
                <w:rFonts w:ascii="宋体" w:hAnsi="宋体" w:eastAsia="宋体" w:cs="宋体"/>
                <w:kern w:val="0"/>
                <w:sz w:val="20"/>
                <w:szCs w:val="20"/>
              </w:rPr>
            </w:pPr>
          </w:p>
        </w:tc>
        <w:tc>
          <w:tcPr>
            <w:tcW w:w="5016" w:type="dxa"/>
            <w:vMerge w:val="continue"/>
            <w:vAlign w:val="center"/>
          </w:tcPr>
          <w:p>
            <w:pPr>
              <w:widowControl/>
              <w:jc w:val="left"/>
              <w:rPr>
                <w:rFonts w:ascii="宋体" w:hAnsi="宋体" w:eastAsia="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259" w:hRule="atLeast"/>
        </w:trPr>
        <w:tc>
          <w:tcPr>
            <w:tcW w:w="916" w:type="dxa"/>
            <w:vMerge w:val="continue"/>
            <w:vAlign w:val="center"/>
          </w:tcPr>
          <w:p>
            <w:pPr>
              <w:widowControl/>
              <w:jc w:val="left"/>
              <w:rPr>
                <w:rFonts w:ascii="宋体" w:hAnsi="宋体" w:eastAsia="宋体" w:cs="宋体"/>
                <w:kern w:val="0"/>
                <w:sz w:val="20"/>
                <w:szCs w:val="20"/>
              </w:rPr>
            </w:pPr>
          </w:p>
        </w:tc>
        <w:tc>
          <w:tcPr>
            <w:tcW w:w="2355" w:type="dxa"/>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体重指数</w:t>
            </w:r>
          </w:p>
        </w:tc>
        <w:tc>
          <w:tcPr>
            <w:tcW w:w="640" w:type="dxa"/>
            <w:vMerge w:val="continue"/>
            <w:vAlign w:val="center"/>
          </w:tcPr>
          <w:p>
            <w:pPr>
              <w:widowControl/>
              <w:jc w:val="left"/>
              <w:rPr>
                <w:rFonts w:ascii="宋体" w:hAnsi="宋体" w:eastAsia="宋体" w:cs="宋体"/>
                <w:kern w:val="0"/>
                <w:sz w:val="20"/>
                <w:szCs w:val="20"/>
              </w:rPr>
            </w:pPr>
          </w:p>
        </w:tc>
        <w:tc>
          <w:tcPr>
            <w:tcW w:w="640" w:type="dxa"/>
            <w:vMerge w:val="continue"/>
            <w:vAlign w:val="center"/>
          </w:tcPr>
          <w:p>
            <w:pPr>
              <w:widowControl/>
              <w:jc w:val="left"/>
              <w:rPr>
                <w:rFonts w:ascii="宋体" w:hAnsi="宋体" w:eastAsia="宋体" w:cs="宋体"/>
                <w:kern w:val="0"/>
                <w:sz w:val="20"/>
                <w:szCs w:val="20"/>
              </w:rPr>
            </w:pPr>
          </w:p>
        </w:tc>
        <w:tc>
          <w:tcPr>
            <w:tcW w:w="640" w:type="dxa"/>
            <w:vMerge w:val="continue"/>
            <w:vAlign w:val="center"/>
          </w:tcPr>
          <w:p>
            <w:pPr>
              <w:widowControl/>
              <w:jc w:val="left"/>
              <w:rPr>
                <w:rFonts w:ascii="宋体" w:hAnsi="宋体" w:eastAsia="宋体" w:cs="宋体"/>
                <w:kern w:val="0"/>
                <w:sz w:val="20"/>
                <w:szCs w:val="20"/>
              </w:rPr>
            </w:pPr>
          </w:p>
        </w:tc>
        <w:tc>
          <w:tcPr>
            <w:tcW w:w="5016" w:type="dxa"/>
            <w:vMerge w:val="continue"/>
            <w:vAlign w:val="center"/>
          </w:tcPr>
          <w:p>
            <w:pPr>
              <w:widowControl/>
              <w:jc w:val="left"/>
              <w:rPr>
                <w:rFonts w:ascii="宋体" w:hAnsi="宋体" w:eastAsia="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1200" w:hRule="atLeast"/>
        </w:trPr>
        <w:tc>
          <w:tcPr>
            <w:tcW w:w="916" w:type="dxa"/>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内科        &lt;一般检查1或2必选&gt;</w:t>
            </w:r>
          </w:p>
        </w:tc>
        <w:tc>
          <w:tcPr>
            <w:tcW w:w="2355" w:type="dxa"/>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常规检查</w:t>
            </w:r>
          </w:p>
        </w:tc>
        <w:tc>
          <w:tcPr>
            <w:tcW w:w="640" w:type="dxa"/>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w:t>
            </w:r>
          </w:p>
        </w:tc>
        <w:tc>
          <w:tcPr>
            <w:tcW w:w="640" w:type="dxa"/>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w:t>
            </w:r>
          </w:p>
        </w:tc>
        <w:tc>
          <w:tcPr>
            <w:tcW w:w="640" w:type="dxa"/>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w:t>
            </w:r>
          </w:p>
        </w:tc>
        <w:tc>
          <w:tcPr>
            <w:tcW w:w="5016" w:type="dxa"/>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通过听诊、触摸、叩诊等方法，检查心、肝、脾、肺、双肾等脏器的基本情况，如心脏大小是否正常、有无杂音、节律是否整齐，肝脾大小是否正常，肺部有无罗音、双肾有无压痛、扣击痛及生理病理反射情况，为健康评估提供依据。</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480" w:hRule="atLeast"/>
        </w:trPr>
        <w:tc>
          <w:tcPr>
            <w:tcW w:w="916" w:type="dxa"/>
            <w:vMerge w:val="restart"/>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外科</w:t>
            </w:r>
          </w:p>
        </w:tc>
        <w:tc>
          <w:tcPr>
            <w:tcW w:w="2355" w:type="dxa"/>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常规检查</w:t>
            </w:r>
          </w:p>
        </w:tc>
        <w:tc>
          <w:tcPr>
            <w:tcW w:w="640" w:type="dxa"/>
            <w:vMerge w:val="restart"/>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w:t>
            </w:r>
          </w:p>
        </w:tc>
        <w:tc>
          <w:tcPr>
            <w:tcW w:w="640" w:type="dxa"/>
            <w:vMerge w:val="restart"/>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w:t>
            </w:r>
          </w:p>
        </w:tc>
        <w:tc>
          <w:tcPr>
            <w:tcW w:w="640" w:type="dxa"/>
            <w:vMerge w:val="restart"/>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w:t>
            </w:r>
          </w:p>
        </w:tc>
        <w:tc>
          <w:tcPr>
            <w:tcW w:w="5016" w:type="dxa"/>
            <w:vMerge w:val="restart"/>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通过触诊了解有无体表肿物，如疝气、淋巴结肿大、甲状腺肿大、乳腺增生；以及外科浅表皮肤感染、静脉曲张等外科系统基本情况，肛诊可以了解直肠情况，为健康评估提供信息。</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480" w:hRule="atLeast"/>
        </w:trPr>
        <w:tc>
          <w:tcPr>
            <w:tcW w:w="916" w:type="dxa"/>
            <w:vMerge w:val="continue"/>
            <w:vAlign w:val="center"/>
          </w:tcPr>
          <w:p>
            <w:pPr>
              <w:widowControl/>
              <w:jc w:val="left"/>
              <w:rPr>
                <w:rFonts w:ascii="宋体" w:hAnsi="宋体" w:eastAsia="宋体" w:cs="宋体"/>
                <w:kern w:val="0"/>
                <w:sz w:val="20"/>
                <w:szCs w:val="20"/>
              </w:rPr>
            </w:pPr>
          </w:p>
        </w:tc>
        <w:tc>
          <w:tcPr>
            <w:tcW w:w="2355" w:type="dxa"/>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肛诊</w:t>
            </w:r>
          </w:p>
        </w:tc>
        <w:tc>
          <w:tcPr>
            <w:tcW w:w="640" w:type="dxa"/>
            <w:vMerge w:val="continue"/>
            <w:vAlign w:val="center"/>
          </w:tcPr>
          <w:p>
            <w:pPr>
              <w:widowControl/>
              <w:jc w:val="left"/>
              <w:rPr>
                <w:rFonts w:ascii="宋体" w:hAnsi="宋体" w:eastAsia="宋体" w:cs="宋体"/>
                <w:kern w:val="0"/>
                <w:sz w:val="20"/>
                <w:szCs w:val="20"/>
              </w:rPr>
            </w:pPr>
          </w:p>
        </w:tc>
        <w:tc>
          <w:tcPr>
            <w:tcW w:w="640" w:type="dxa"/>
            <w:vMerge w:val="continue"/>
            <w:vAlign w:val="center"/>
          </w:tcPr>
          <w:p>
            <w:pPr>
              <w:widowControl/>
              <w:jc w:val="left"/>
              <w:rPr>
                <w:rFonts w:ascii="宋体" w:hAnsi="宋体" w:eastAsia="宋体" w:cs="宋体"/>
                <w:kern w:val="0"/>
                <w:sz w:val="20"/>
                <w:szCs w:val="20"/>
              </w:rPr>
            </w:pPr>
          </w:p>
        </w:tc>
        <w:tc>
          <w:tcPr>
            <w:tcW w:w="640" w:type="dxa"/>
            <w:vMerge w:val="continue"/>
            <w:vAlign w:val="center"/>
          </w:tcPr>
          <w:p>
            <w:pPr>
              <w:widowControl/>
              <w:jc w:val="left"/>
              <w:rPr>
                <w:rFonts w:ascii="宋体" w:hAnsi="宋体" w:eastAsia="宋体" w:cs="宋体"/>
                <w:kern w:val="0"/>
                <w:sz w:val="20"/>
                <w:szCs w:val="20"/>
              </w:rPr>
            </w:pPr>
          </w:p>
        </w:tc>
        <w:tc>
          <w:tcPr>
            <w:tcW w:w="5016" w:type="dxa"/>
            <w:vMerge w:val="continue"/>
            <w:vAlign w:val="center"/>
          </w:tcPr>
          <w:p>
            <w:pPr>
              <w:widowControl/>
              <w:jc w:val="left"/>
              <w:rPr>
                <w:rFonts w:ascii="宋体" w:hAnsi="宋体" w:eastAsia="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360" w:hRule="atLeast"/>
        </w:trPr>
        <w:tc>
          <w:tcPr>
            <w:tcW w:w="916" w:type="dxa"/>
            <w:vMerge w:val="restart"/>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眼科</w:t>
            </w:r>
          </w:p>
        </w:tc>
        <w:tc>
          <w:tcPr>
            <w:tcW w:w="2355" w:type="dxa"/>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视力、色觉</w:t>
            </w:r>
          </w:p>
        </w:tc>
        <w:tc>
          <w:tcPr>
            <w:tcW w:w="640" w:type="dxa"/>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w:t>
            </w:r>
          </w:p>
        </w:tc>
        <w:tc>
          <w:tcPr>
            <w:tcW w:w="640" w:type="dxa"/>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w:t>
            </w:r>
          </w:p>
        </w:tc>
        <w:tc>
          <w:tcPr>
            <w:tcW w:w="640" w:type="dxa"/>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w:t>
            </w:r>
          </w:p>
        </w:tc>
        <w:tc>
          <w:tcPr>
            <w:tcW w:w="5016" w:type="dxa"/>
            <w:vMerge w:val="restart"/>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检查有无近视、远视、散光等屈光不正的现象，检查眼底视网膜病变、老年型黄斑变性、视乳头病变,眼底动脉改变，为诊断颅脑疾病、内分泌疾病、动脉硬化等提供信息，为早期治疗争取时间。</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360" w:hRule="atLeast"/>
        </w:trPr>
        <w:tc>
          <w:tcPr>
            <w:tcW w:w="916" w:type="dxa"/>
            <w:vMerge w:val="continue"/>
            <w:vAlign w:val="center"/>
          </w:tcPr>
          <w:p>
            <w:pPr>
              <w:widowControl/>
              <w:jc w:val="left"/>
              <w:rPr>
                <w:rFonts w:ascii="宋体" w:hAnsi="宋体" w:eastAsia="宋体" w:cs="宋体"/>
                <w:kern w:val="0"/>
                <w:sz w:val="20"/>
                <w:szCs w:val="20"/>
              </w:rPr>
            </w:pPr>
          </w:p>
        </w:tc>
        <w:tc>
          <w:tcPr>
            <w:tcW w:w="2355" w:type="dxa"/>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外眼、裂隙灯</w:t>
            </w:r>
          </w:p>
        </w:tc>
        <w:tc>
          <w:tcPr>
            <w:tcW w:w="640" w:type="dxa"/>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w:t>
            </w:r>
          </w:p>
        </w:tc>
        <w:tc>
          <w:tcPr>
            <w:tcW w:w="640" w:type="dxa"/>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w:t>
            </w:r>
          </w:p>
        </w:tc>
        <w:tc>
          <w:tcPr>
            <w:tcW w:w="640" w:type="dxa"/>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w:t>
            </w:r>
          </w:p>
        </w:tc>
        <w:tc>
          <w:tcPr>
            <w:tcW w:w="5016" w:type="dxa"/>
            <w:vMerge w:val="continue"/>
            <w:vAlign w:val="center"/>
          </w:tcPr>
          <w:p>
            <w:pPr>
              <w:widowControl/>
              <w:jc w:val="left"/>
              <w:rPr>
                <w:rFonts w:ascii="宋体" w:hAnsi="宋体" w:eastAsia="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360" w:hRule="atLeast"/>
        </w:trPr>
        <w:tc>
          <w:tcPr>
            <w:tcW w:w="916" w:type="dxa"/>
            <w:vMerge w:val="continue"/>
            <w:vAlign w:val="center"/>
          </w:tcPr>
          <w:p>
            <w:pPr>
              <w:widowControl/>
              <w:jc w:val="left"/>
              <w:rPr>
                <w:rFonts w:ascii="宋体" w:hAnsi="宋体" w:eastAsia="宋体" w:cs="宋体"/>
                <w:kern w:val="0"/>
                <w:sz w:val="20"/>
                <w:szCs w:val="20"/>
              </w:rPr>
            </w:pPr>
          </w:p>
        </w:tc>
        <w:tc>
          <w:tcPr>
            <w:tcW w:w="2355" w:type="dxa"/>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眼底</w:t>
            </w:r>
          </w:p>
        </w:tc>
        <w:tc>
          <w:tcPr>
            <w:tcW w:w="640" w:type="dxa"/>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w:t>
            </w:r>
          </w:p>
        </w:tc>
        <w:tc>
          <w:tcPr>
            <w:tcW w:w="640" w:type="dxa"/>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w:t>
            </w:r>
          </w:p>
        </w:tc>
        <w:tc>
          <w:tcPr>
            <w:tcW w:w="640" w:type="dxa"/>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w:t>
            </w:r>
          </w:p>
        </w:tc>
        <w:tc>
          <w:tcPr>
            <w:tcW w:w="5016" w:type="dxa"/>
            <w:vMerge w:val="continue"/>
            <w:vAlign w:val="center"/>
          </w:tcPr>
          <w:p>
            <w:pPr>
              <w:widowControl/>
              <w:jc w:val="left"/>
              <w:rPr>
                <w:rFonts w:ascii="宋体" w:hAnsi="宋体" w:eastAsia="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319" w:hRule="atLeast"/>
        </w:trPr>
        <w:tc>
          <w:tcPr>
            <w:tcW w:w="916" w:type="dxa"/>
            <w:vMerge w:val="continue"/>
            <w:vAlign w:val="center"/>
          </w:tcPr>
          <w:p>
            <w:pPr>
              <w:widowControl/>
              <w:jc w:val="left"/>
              <w:rPr>
                <w:rFonts w:ascii="宋体" w:hAnsi="宋体" w:eastAsia="宋体" w:cs="宋体"/>
                <w:kern w:val="0"/>
                <w:sz w:val="20"/>
                <w:szCs w:val="20"/>
              </w:rPr>
            </w:pPr>
          </w:p>
        </w:tc>
        <w:tc>
          <w:tcPr>
            <w:tcW w:w="2355" w:type="dxa"/>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眼压</w:t>
            </w:r>
          </w:p>
        </w:tc>
        <w:tc>
          <w:tcPr>
            <w:tcW w:w="640" w:type="dxa"/>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w:t>
            </w:r>
          </w:p>
        </w:tc>
        <w:tc>
          <w:tcPr>
            <w:tcW w:w="640" w:type="dxa"/>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w:t>
            </w:r>
          </w:p>
        </w:tc>
        <w:tc>
          <w:tcPr>
            <w:tcW w:w="640" w:type="dxa"/>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w:t>
            </w:r>
          </w:p>
        </w:tc>
        <w:tc>
          <w:tcPr>
            <w:tcW w:w="5016" w:type="dxa"/>
            <w:vMerge w:val="continue"/>
            <w:vAlign w:val="center"/>
          </w:tcPr>
          <w:p>
            <w:pPr>
              <w:widowControl/>
              <w:jc w:val="left"/>
              <w:rPr>
                <w:rFonts w:ascii="宋体" w:hAnsi="宋体" w:eastAsia="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360" w:hRule="atLeast"/>
        </w:trPr>
        <w:tc>
          <w:tcPr>
            <w:tcW w:w="916" w:type="dxa"/>
            <w:vMerge w:val="restart"/>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耳鼻喉科</w:t>
            </w:r>
          </w:p>
        </w:tc>
        <w:tc>
          <w:tcPr>
            <w:tcW w:w="2355" w:type="dxa"/>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常规检查</w:t>
            </w:r>
          </w:p>
        </w:tc>
        <w:tc>
          <w:tcPr>
            <w:tcW w:w="640" w:type="dxa"/>
            <w:vMerge w:val="restart"/>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w:t>
            </w:r>
          </w:p>
        </w:tc>
        <w:tc>
          <w:tcPr>
            <w:tcW w:w="640" w:type="dxa"/>
            <w:vMerge w:val="restart"/>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w:t>
            </w:r>
          </w:p>
        </w:tc>
        <w:tc>
          <w:tcPr>
            <w:tcW w:w="640" w:type="dxa"/>
            <w:vMerge w:val="restart"/>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w:t>
            </w:r>
          </w:p>
        </w:tc>
        <w:tc>
          <w:tcPr>
            <w:tcW w:w="5016" w:type="dxa"/>
            <w:vMerge w:val="restart"/>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借助诊疗器械检查耳、鼻、鼻咽、口咽等部位，筛检中耳炎、耳聋、面瘫、鼻炎、鼻窦炎、扁桃体炎等疾病。</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342" w:hRule="atLeast"/>
        </w:trPr>
        <w:tc>
          <w:tcPr>
            <w:tcW w:w="916" w:type="dxa"/>
            <w:vMerge w:val="continue"/>
            <w:vAlign w:val="center"/>
          </w:tcPr>
          <w:p>
            <w:pPr>
              <w:widowControl/>
              <w:jc w:val="left"/>
              <w:rPr>
                <w:rFonts w:ascii="宋体" w:hAnsi="宋体" w:eastAsia="宋体" w:cs="宋体"/>
                <w:kern w:val="0"/>
                <w:sz w:val="20"/>
                <w:szCs w:val="20"/>
              </w:rPr>
            </w:pPr>
          </w:p>
        </w:tc>
        <w:tc>
          <w:tcPr>
            <w:tcW w:w="2355" w:type="dxa"/>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听力</w:t>
            </w:r>
          </w:p>
        </w:tc>
        <w:tc>
          <w:tcPr>
            <w:tcW w:w="640" w:type="dxa"/>
            <w:vMerge w:val="continue"/>
            <w:vAlign w:val="center"/>
          </w:tcPr>
          <w:p>
            <w:pPr>
              <w:widowControl/>
              <w:jc w:val="left"/>
              <w:rPr>
                <w:rFonts w:ascii="宋体" w:hAnsi="宋体" w:eastAsia="宋体" w:cs="宋体"/>
                <w:kern w:val="0"/>
                <w:sz w:val="20"/>
                <w:szCs w:val="20"/>
              </w:rPr>
            </w:pPr>
          </w:p>
        </w:tc>
        <w:tc>
          <w:tcPr>
            <w:tcW w:w="640" w:type="dxa"/>
            <w:vMerge w:val="continue"/>
            <w:vAlign w:val="center"/>
          </w:tcPr>
          <w:p>
            <w:pPr>
              <w:widowControl/>
              <w:jc w:val="left"/>
              <w:rPr>
                <w:rFonts w:ascii="宋体" w:hAnsi="宋体" w:eastAsia="宋体" w:cs="宋体"/>
                <w:kern w:val="0"/>
                <w:sz w:val="20"/>
                <w:szCs w:val="20"/>
              </w:rPr>
            </w:pPr>
          </w:p>
        </w:tc>
        <w:tc>
          <w:tcPr>
            <w:tcW w:w="640" w:type="dxa"/>
            <w:vMerge w:val="continue"/>
            <w:vAlign w:val="center"/>
          </w:tcPr>
          <w:p>
            <w:pPr>
              <w:widowControl/>
              <w:jc w:val="left"/>
              <w:rPr>
                <w:rFonts w:ascii="宋体" w:hAnsi="宋体" w:eastAsia="宋体" w:cs="宋体"/>
                <w:kern w:val="0"/>
                <w:sz w:val="20"/>
                <w:szCs w:val="20"/>
              </w:rPr>
            </w:pPr>
          </w:p>
        </w:tc>
        <w:tc>
          <w:tcPr>
            <w:tcW w:w="5016" w:type="dxa"/>
            <w:vMerge w:val="continue"/>
            <w:vAlign w:val="center"/>
          </w:tcPr>
          <w:p>
            <w:pPr>
              <w:widowControl/>
              <w:jc w:val="left"/>
              <w:rPr>
                <w:rFonts w:ascii="宋体" w:hAnsi="宋体" w:eastAsia="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799" w:hRule="atLeast"/>
        </w:trPr>
        <w:tc>
          <w:tcPr>
            <w:tcW w:w="916" w:type="dxa"/>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口腔科</w:t>
            </w:r>
          </w:p>
        </w:tc>
        <w:tc>
          <w:tcPr>
            <w:tcW w:w="2355" w:type="dxa"/>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常规检查</w:t>
            </w:r>
          </w:p>
        </w:tc>
        <w:tc>
          <w:tcPr>
            <w:tcW w:w="640" w:type="dxa"/>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w:t>
            </w:r>
          </w:p>
        </w:tc>
        <w:tc>
          <w:tcPr>
            <w:tcW w:w="640" w:type="dxa"/>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w:t>
            </w:r>
          </w:p>
        </w:tc>
        <w:tc>
          <w:tcPr>
            <w:tcW w:w="640" w:type="dxa"/>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w:t>
            </w:r>
          </w:p>
        </w:tc>
        <w:tc>
          <w:tcPr>
            <w:tcW w:w="5016" w:type="dxa"/>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 xml:space="preserve">可检查牙龈、牙齿的形态、色彩和牙龈的质地、牙齿的稳定性、咬合关系等，了解口腔健康状况，对口腔相关疾病早期发现、早期诊断和早期治疗有重要意义。 </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960" w:hRule="atLeast"/>
        </w:trPr>
        <w:tc>
          <w:tcPr>
            <w:tcW w:w="916" w:type="dxa"/>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心电图</w:t>
            </w:r>
          </w:p>
        </w:tc>
        <w:tc>
          <w:tcPr>
            <w:tcW w:w="2355" w:type="dxa"/>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静态心电图</w:t>
            </w:r>
          </w:p>
        </w:tc>
        <w:tc>
          <w:tcPr>
            <w:tcW w:w="640" w:type="dxa"/>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w:t>
            </w:r>
          </w:p>
        </w:tc>
        <w:tc>
          <w:tcPr>
            <w:tcW w:w="640" w:type="dxa"/>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w:t>
            </w:r>
          </w:p>
        </w:tc>
        <w:tc>
          <w:tcPr>
            <w:tcW w:w="640" w:type="dxa"/>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w:t>
            </w:r>
          </w:p>
        </w:tc>
        <w:tc>
          <w:tcPr>
            <w:tcW w:w="5016" w:type="dxa"/>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 xml:space="preserve">通过仪器检测心肌电生理变化、分析图形，为诊断心肌埂塞、心律失常、心肌炎、心绞痛、束支传导阻滞、房室肥大、预激综合症、心包炎等各种心脏疾病提供准确的信息。 </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270" w:hRule="atLeast"/>
        </w:trPr>
        <w:tc>
          <w:tcPr>
            <w:tcW w:w="3271" w:type="dxa"/>
            <w:gridSpan w:val="2"/>
            <w:shd w:val="clear" w:color="000000" w:fill="C0C0C0"/>
            <w:vAlign w:val="center"/>
          </w:tcPr>
          <w:p>
            <w:pPr>
              <w:widowControl/>
              <w:jc w:val="left"/>
              <w:rPr>
                <w:rFonts w:ascii="宋体" w:hAnsi="宋体" w:eastAsia="宋体" w:cs="宋体"/>
                <w:b/>
                <w:bCs/>
                <w:kern w:val="0"/>
                <w:sz w:val="22"/>
              </w:rPr>
            </w:pPr>
            <w:r>
              <w:rPr>
                <w:rFonts w:hint="eastAsia" w:ascii="宋体" w:hAnsi="宋体" w:eastAsia="宋体" w:cs="宋体"/>
                <w:b/>
                <w:bCs/>
                <w:kern w:val="0"/>
                <w:sz w:val="22"/>
              </w:rPr>
              <w:t>女性体检项目</w:t>
            </w:r>
          </w:p>
        </w:tc>
        <w:tc>
          <w:tcPr>
            <w:tcW w:w="640" w:type="dxa"/>
            <w:shd w:val="clear" w:color="000000" w:fill="C0C0C0"/>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640" w:type="dxa"/>
            <w:shd w:val="clear" w:color="000000" w:fill="C0C0C0"/>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640" w:type="dxa"/>
            <w:shd w:val="clear" w:color="000000" w:fill="C0C0C0"/>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5016" w:type="dxa"/>
            <w:shd w:val="clear" w:color="000000" w:fill="C0C0C0"/>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960" w:hRule="atLeast"/>
        </w:trPr>
        <w:tc>
          <w:tcPr>
            <w:tcW w:w="916" w:type="dxa"/>
            <w:vMerge w:val="restart"/>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妇科检查</w:t>
            </w:r>
          </w:p>
        </w:tc>
        <w:tc>
          <w:tcPr>
            <w:tcW w:w="2355" w:type="dxa"/>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常规检查&lt;必选&gt;</w:t>
            </w:r>
          </w:p>
        </w:tc>
        <w:tc>
          <w:tcPr>
            <w:tcW w:w="640" w:type="dxa"/>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　</w:t>
            </w:r>
          </w:p>
        </w:tc>
        <w:tc>
          <w:tcPr>
            <w:tcW w:w="640" w:type="dxa"/>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　</w:t>
            </w:r>
          </w:p>
        </w:tc>
        <w:tc>
          <w:tcPr>
            <w:tcW w:w="640" w:type="dxa"/>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w:t>
            </w:r>
          </w:p>
        </w:tc>
        <w:tc>
          <w:tcPr>
            <w:tcW w:w="5016" w:type="dxa"/>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首先查看外阴有无皮肤病、水肿、白斑等；其次用器械检查阴道及宫颈：阴道有无出血、溃疡；有无宫颈炎症、宫颈糜烂等；第三是触摸检查子宫大小、形态、位置以及活动度是否正常；第四是检查双侧附件有无肿块及压痛等。</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720" w:hRule="atLeast"/>
        </w:trPr>
        <w:tc>
          <w:tcPr>
            <w:tcW w:w="916" w:type="dxa"/>
            <w:vMerge w:val="continue"/>
            <w:vAlign w:val="center"/>
          </w:tcPr>
          <w:p>
            <w:pPr>
              <w:widowControl/>
              <w:jc w:val="left"/>
              <w:rPr>
                <w:rFonts w:ascii="宋体" w:hAnsi="宋体" w:eastAsia="宋体" w:cs="宋体"/>
                <w:kern w:val="0"/>
                <w:sz w:val="20"/>
                <w:szCs w:val="20"/>
              </w:rPr>
            </w:pPr>
          </w:p>
        </w:tc>
        <w:tc>
          <w:tcPr>
            <w:tcW w:w="2355" w:type="dxa"/>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白带常规</w:t>
            </w:r>
          </w:p>
        </w:tc>
        <w:tc>
          <w:tcPr>
            <w:tcW w:w="640" w:type="dxa"/>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　</w:t>
            </w:r>
          </w:p>
        </w:tc>
        <w:tc>
          <w:tcPr>
            <w:tcW w:w="640" w:type="dxa"/>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　</w:t>
            </w:r>
          </w:p>
        </w:tc>
        <w:tc>
          <w:tcPr>
            <w:tcW w:w="640" w:type="dxa"/>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w:t>
            </w:r>
          </w:p>
        </w:tc>
        <w:tc>
          <w:tcPr>
            <w:tcW w:w="5016" w:type="dxa"/>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白带检查对于确定阴道清洁度，检查诊断妇科炎症等如：霉菌性阴道炎、滴虫性阴道炎及性病等均具有重要的意义。</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720" w:hRule="atLeast"/>
        </w:trPr>
        <w:tc>
          <w:tcPr>
            <w:tcW w:w="916" w:type="dxa"/>
            <w:vMerge w:val="continue"/>
            <w:vAlign w:val="center"/>
          </w:tcPr>
          <w:p>
            <w:pPr>
              <w:widowControl/>
              <w:jc w:val="left"/>
              <w:rPr>
                <w:rFonts w:ascii="宋体" w:hAnsi="宋体" w:eastAsia="宋体" w:cs="宋体"/>
                <w:kern w:val="0"/>
                <w:sz w:val="20"/>
                <w:szCs w:val="20"/>
              </w:rPr>
            </w:pPr>
          </w:p>
        </w:tc>
        <w:tc>
          <w:tcPr>
            <w:tcW w:w="2355" w:type="dxa"/>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TCT</w:t>
            </w:r>
          </w:p>
        </w:tc>
        <w:tc>
          <w:tcPr>
            <w:tcW w:w="640" w:type="dxa"/>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　</w:t>
            </w:r>
          </w:p>
        </w:tc>
        <w:tc>
          <w:tcPr>
            <w:tcW w:w="640" w:type="dxa"/>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　</w:t>
            </w:r>
          </w:p>
        </w:tc>
        <w:tc>
          <w:tcPr>
            <w:tcW w:w="640" w:type="dxa"/>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w:t>
            </w:r>
          </w:p>
        </w:tc>
        <w:tc>
          <w:tcPr>
            <w:tcW w:w="5016" w:type="dxa"/>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用细胞采集刷取宫颈管内脱落细胞，应用电脑制片、人工阅片，在细胞学的基础上筛查早期宫颈癌，阳性率高，是目前用于诊断宫颈癌的方法。</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582" w:hRule="atLeast"/>
        </w:trPr>
        <w:tc>
          <w:tcPr>
            <w:tcW w:w="916" w:type="dxa"/>
            <w:vMerge w:val="continue"/>
            <w:vAlign w:val="center"/>
          </w:tcPr>
          <w:p>
            <w:pPr>
              <w:widowControl/>
              <w:jc w:val="left"/>
              <w:rPr>
                <w:rFonts w:ascii="宋体" w:hAnsi="宋体" w:eastAsia="宋体" w:cs="宋体"/>
                <w:kern w:val="0"/>
                <w:sz w:val="20"/>
                <w:szCs w:val="20"/>
              </w:rPr>
            </w:pPr>
          </w:p>
        </w:tc>
        <w:tc>
          <w:tcPr>
            <w:tcW w:w="2355" w:type="dxa"/>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人类乳头瘤病毒--定量检测</w:t>
            </w:r>
          </w:p>
        </w:tc>
        <w:tc>
          <w:tcPr>
            <w:tcW w:w="640" w:type="dxa"/>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　</w:t>
            </w:r>
          </w:p>
        </w:tc>
        <w:tc>
          <w:tcPr>
            <w:tcW w:w="640" w:type="dxa"/>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　</w:t>
            </w:r>
          </w:p>
        </w:tc>
        <w:tc>
          <w:tcPr>
            <w:tcW w:w="640" w:type="dxa"/>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w:t>
            </w:r>
          </w:p>
        </w:tc>
        <w:tc>
          <w:tcPr>
            <w:tcW w:w="5016" w:type="dxa"/>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HPV分为低危型、高危型，低危型HPV可引起生殖器尖锐湿疣等，高危型HPV与宫颈癌发病密切相关；HPV检测可以筛查宫颈癌。</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270" w:hRule="atLeast"/>
        </w:trPr>
        <w:tc>
          <w:tcPr>
            <w:tcW w:w="3271" w:type="dxa"/>
            <w:gridSpan w:val="2"/>
            <w:shd w:val="clear" w:color="000000" w:fill="C0C0C0"/>
            <w:vAlign w:val="center"/>
          </w:tcPr>
          <w:p>
            <w:pPr>
              <w:widowControl/>
              <w:jc w:val="left"/>
              <w:rPr>
                <w:rFonts w:ascii="宋体" w:hAnsi="宋体" w:eastAsia="宋体" w:cs="宋体"/>
                <w:b/>
                <w:bCs/>
                <w:kern w:val="0"/>
                <w:sz w:val="22"/>
              </w:rPr>
            </w:pPr>
            <w:r>
              <w:rPr>
                <w:rFonts w:hint="eastAsia" w:ascii="宋体" w:hAnsi="宋体" w:eastAsia="宋体" w:cs="宋体"/>
                <w:b/>
                <w:bCs/>
                <w:kern w:val="0"/>
                <w:sz w:val="22"/>
              </w:rPr>
              <w:t>血液检查</w:t>
            </w:r>
          </w:p>
        </w:tc>
        <w:tc>
          <w:tcPr>
            <w:tcW w:w="640" w:type="dxa"/>
            <w:shd w:val="clear" w:color="000000" w:fill="C0C0C0"/>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640" w:type="dxa"/>
            <w:shd w:val="clear" w:color="000000" w:fill="C0C0C0"/>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640" w:type="dxa"/>
            <w:shd w:val="clear" w:color="000000" w:fill="C0C0C0"/>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5016" w:type="dxa"/>
            <w:shd w:val="clear" w:color="000000" w:fill="C0C0C0"/>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342" w:hRule="atLeast"/>
        </w:trPr>
        <w:tc>
          <w:tcPr>
            <w:tcW w:w="3271" w:type="dxa"/>
            <w:gridSpan w:val="2"/>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抽血</w:t>
            </w:r>
          </w:p>
        </w:tc>
        <w:tc>
          <w:tcPr>
            <w:tcW w:w="640" w:type="dxa"/>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w:t>
            </w:r>
          </w:p>
        </w:tc>
        <w:tc>
          <w:tcPr>
            <w:tcW w:w="640" w:type="dxa"/>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w:t>
            </w:r>
          </w:p>
        </w:tc>
        <w:tc>
          <w:tcPr>
            <w:tcW w:w="640" w:type="dxa"/>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w:t>
            </w:r>
          </w:p>
        </w:tc>
        <w:tc>
          <w:tcPr>
            <w:tcW w:w="5016" w:type="dxa"/>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259" w:hRule="atLeast"/>
        </w:trPr>
        <w:tc>
          <w:tcPr>
            <w:tcW w:w="916" w:type="dxa"/>
            <w:vMerge w:val="restart"/>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血常规18项</w:t>
            </w:r>
          </w:p>
        </w:tc>
        <w:tc>
          <w:tcPr>
            <w:tcW w:w="2355" w:type="dxa"/>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红细胞</w:t>
            </w:r>
          </w:p>
        </w:tc>
        <w:tc>
          <w:tcPr>
            <w:tcW w:w="640" w:type="dxa"/>
            <w:vMerge w:val="restart"/>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w:t>
            </w:r>
          </w:p>
        </w:tc>
        <w:tc>
          <w:tcPr>
            <w:tcW w:w="640" w:type="dxa"/>
            <w:vMerge w:val="restart"/>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w:t>
            </w:r>
          </w:p>
        </w:tc>
        <w:tc>
          <w:tcPr>
            <w:tcW w:w="640" w:type="dxa"/>
            <w:vMerge w:val="restart"/>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w:t>
            </w:r>
          </w:p>
        </w:tc>
        <w:tc>
          <w:tcPr>
            <w:tcW w:w="5016" w:type="dxa"/>
            <w:vMerge w:val="restart"/>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对诊断各种原因引起的贫血、白细胞减少、红细胞增多症、白血病、再生障碍性贫血及急性感染等有参考意义。</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342" w:hRule="atLeast"/>
        </w:trPr>
        <w:tc>
          <w:tcPr>
            <w:tcW w:w="916" w:type="dxa"/>
            <w:vMerge w:val="continue"/>
            <w:vAlign w:val="center"/>
          </w:tcPr>
          <w:p>
            <w:pPr>
              <w:widowControl/>
              <w:jc w:val="left"/>
              <w:rPr>
                <w:rFonts w:ascii="宋体" w:hAnsi="宋体" w:eastAsia="宋体" w:cs="宋体"/>
                <w:kern w:val="0"/>
                <w:sz w:val="20"/>
                <w:szCs w:val="20"/>
              </w:rPr>
            </w:pPr>
          </w:p>
        </w:tc>
        <w:tc>
          <w:tcPr>
            <w:tcW w:w="2355" w:type="dxa"/>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白细胞</w:t>
            </w:r>
          </w:p>
        </w:tc>
        <w:tc>
          <w:tcPr>
            <w:tcW w:w="640" w:type="dxa"/>
            <w:vMerge w:val="continue"/>
            <w:vAlign w:val="center"/>
          </w:tcPr>
          <w:p>
            <w:pPr>
              <w:widowControl/>
              <w:jc w:val="left"/>
              <w:rPr>
                <w:rFonts w:ascii="宋体" w:hAnsi="宋体" w:eastAsia="宋体" w:cs="宋体"/>
                <w:kern w:val="0"/>
                <w:sz w:val="20"/>
                <w:szCs w:val="20"/>
              </w:rPr>
            </w:pPr>
          </w:p>
        </w:tc>
        <w:tc>
          <w:tcPr>
            <w:tcW w:w="640" w:type="dxa"/>
            <w:vMerge w:val="continue"/>
            <w:vAlign w:val="center"/>
          </w:tcPr>
          <w:p>
            <w:pPr>
              <w:widowControl/>
              <w:jc w:val="left"/>
              <w:rPr>
                <w:rFonts w:ascii="宋体" w:hAnsi="宋体" w:eastAsia="宋体" w:cs="宋体"/>
                <w:kern w:val="0"/>
                <w:sz w:val="20"/>
                <w:szCs w:val="20"/>
              </w:rPr>
            </w:pPr>
          </w:p>
        </w:tc>
        <w:tc>
          <w:tcPr>
            <w:tcW w:w="640" w:type="dxa"/>
            <w:vMerge w:val="continue"/>
            <w:vAlign w:val="center"/>
          </w:tcPr>
          <w:p>
            <w:pPr>
              <w:widowControl/>
              <w:jc w:val="left"/>
              <w:rPr>
                <w:rFonts w:ascii="宋体" w:hAnsi="宋体" w:eastAsia="宋体" w:cs="宋体"/>
                <w:kern w:val="0"/>
                <w:sz w:val="20"/>
                <w:szCs w:val="20"/>
              </w:rPr>
            </w:pPr>
          </w:p>
        </w:tc>
        <w:tc>
          <w:tcPr>
            <w:tcW w:w="5016" w:type="dxa"/>
            <w:vMerge w:val="continue"/>
            <w:vAlign w:val="center"/>
          </w:tcPr>
          <w:p>
            <w:pPr>
              <w:widowControl/>
              <w:jc w:val="left"/>
              <w:rPr>
                <w:rFonts w:ascii="宋体" w:hAnsi="宋体" w:eastAsia="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300" w:hRule="atLeast"/>
        </w:trPr>
        <w:tc>
          <w:tcPr>
            <w:tcW w:w="916" w:type="dxa"/>
            <w:vMerge w:val="continue"/>
            <w:vAlign w:val="center"/>
          </w:tcPr>
          <w:p>
            <w:pPr>
              <w:widowControl/>
              <w:jc w:val="left"/>
              <w:rPr>
                <w:rFonts w:ascii="宋体" w:hAnsi="宋体" w:eastAsia="宋体" w:cs="宋体"/>
                <w:kern w:val="0"/>
                <w:sz w:val="20"/>
                <w:szCs w:val="20"/>
              </w:rPr>
            </w:pPr>
          </w:p>
        </w:tc>
        <w:tc>
          <w:tcPr>
            <w:tcW w:w="2355" w:type="dxa"/>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白细胞分类</w:t>
            </w:r>
          </w:p>
        </w:tc>
        <w:tc>
          <w:tcPr>
            <w:tcW w:w="640" w:type="dxa"/>
            <w:vMerge w:val="continue"/>
            <w:vAlign w:val="center"/>
          </w:tcPr>
          <w:p>
            <w:pPr>
              <w:widowControl/>
              <w:jc w:val="left"/>
              <w:rPr>
                <w:rFonts w:ascii="宋体" w:hAnsi="宋体" w:eastAsia="宋体" w:cs="宋体"/>
                <w:kern w:val="0"/>
                <w:sz w:val="20"/>
                <w:szCs w:val="20"/>
              </w:rPr>
            </w:pPr>
          </w:p>
        </w:tc>
        <w:tc>
          <w:tcPr>
            <w:tcW w:w="640" w:type="dxa"/>
            <w:vMerge w:val="continue"/>
            <w:vAlign w:val="center"/>
          </w:tcPr>
          <w:p>
            <w:pPr>
              <w:widowControl/>
              <w:jc w:val="left"/>
              <w:rPr>
                <w:rFonts w:ascii="宋体" w:hAnsi="宋体" w:eastAsia="宋体" w:cs="宋体"/>
                <w:kern w:val="0"/>
                <w:sz w:val="20"/>
                <w:szCs w:val="20"/>
              </w:rPr>
            </w:pPr>
          </w:p>
        </w:tc>
        <w:tc>
          <w:tcPr>
            <w:tcW w:w="640" w:type="dxa"/>
            <w:vMerge w:val="continue"/>
            <w:vAlign w:val="center"/>
          </w:tcPr>
          <w:p>
            <w:pPr>
              <w:widowControl/>
              <w:jc w:val="left"/>
              <w:rPr>
                <w:rFonts w:ascii="宋体" w:hAnsi="宋体" w:eastAsia="宋体" w:cs="宋体"/>
                <w:kern w:val="0"/>
                <w:sz w:val="20"/>
                <w:szCs w:val="20"/>
              </w:rPr>
            </w:pPr>
          </w:p>
        </w:tc>
        <w:tc>
          <w:tcPr>
            <w:tcW w:w="5016" w:type="dxa"/>
            <w:vMerge w:val="continue"/>
            <w:vAlign w:val="center"/>
          </w:tcPr>
          <w:p>
            <w:pPr>
              <w:widowControl/>
              <w:jc w:val="left"/>
              <w:rPr>
                <w:rFonts w:ascii="宋体" w:hAnsi="宋体" w:eastAsia="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285" w:hRule="atLeast"/>
        </w:trPr>
        <w:tc>
          <w:tcPr>
            <w:tcW w:w="916" w:type="dxa"/>
            <w:vMerge w:val="continue"/>
            <w:vAlign w:val="center"/>
          </w:tcPr>
          <w:p>
            <w:pPr>
              <w:widowControl/>
              <w:jc w:val="left"/>
              <w:rPr>
                <w:rFonts w:ascii="宋体" w:hAnsi="宋体" w:eastAsia="宋体" w:cs="宋体"/>
                <w:kern w:val="0"/>
                <w:sz w:val="20"/>
                <w:szCs w:val="20"/>
              </w:rPr>
            </w:pPr>
          </w:p>
        </w:tc>
        <w:tc>
          <w:tcPr>
            <w:tcW w:w="2355" w:type="dxa"/>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血红蛋白测定</w:t>
            </w:r>
          </w:p>
        </w:tc>
        <w:tc>
          <w:tcPr>
            <w:tcW w:w="640" w:type="dxa"/>
            <w:vMerge w:val="continue"/>
            <w:vAlign w:val="center"/>
          </w:tcPr>
          <w:p>
            <w:pPr>
              <w:widowControl/>
              <w:jc w:val="left"/>
              <w:rPr>
                <w:rFonts w:ascii="宋体" w:hAnsi="宋体" w:eastAsia="宋体" w:cs="宋体"/>
                <w:kern w:val="0"/>
                <w:sz w:val="20"/>
                <w:szCs w:val="20"/>
              </w:rPr>
            </w:pPr>
          </w:p>
        </w:tc>
        <w:tc>
          <w:tcPr>
            <w:tcW w:w="640" w:type="dxa"/>
            <w:vMerge w:val="continue"/>
            <w:vAlign w:val="center"/>
          </w:tcPr>
          <w:p>
            <w:pPr>
              <w:widowControl/>
              <w:jc w:val="left"/>
              <w:rPr>
                <w:rFonts w:ascii="宋体" w:hAnsi="宋体" w:eastAsia="宋体" w:cs="宋体"/>
                <w:kern w:val="0"/>
                <w:sz w:val="20"/>
                <w:szCs w:val="20"/>
              </w:rPr>
            </w:pPr>
          </w:p>
        </w:tc>
        <w:tc>
          <w:tcPr>
            <w:tcW w:w="640" w:type="dxa"/>
            <w:vMerge w:val="continue"/>
            <w:vAlign w:val="center"/>
          </w:tcPr>
          <w:p>
            <w:pPr>
              <w:widowControl/>
              <w:jc w:val="left"/>
              <w:rPr>
                <w:rFonts w:ascii="宋体" w:hAnsi="宋体" w:eastAsia="宋体" w:cs="宋体"/>
                <w:kern w:val="0"/>
                <w:sz w:val="20"/>
                <w:szCs w:val="20"/>
              </w:rPr>
            </w:pPr>
          </w:p>
        </w:tc>
        <w:tc>
          <w:tcPr>
            <w:tcW w:w="5016" w:type="dxa"/>
            <w:vMerge w:val="continue"/>
            <w:vAlign w:val="center"/>
          </w:tcPr>
          <w:p>
            <w:pPr>
              <w:widowControl/>
              <w:jc w:val="left"/>
              <w:rPr>
                <w:rFonts w:ascii="宋体" w:hAnsi="宋体" w:eastAsia="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282" w:hRule="atLeast"/>
        </w:trPr>
        <w:tc>
          <w:tcPr>
            <w:tcW w:w="916" w:type="dxa"/>
            <w:vMerge w:val="continue"/>
            <w:vAlign w:val="center"/>
          </w:tcPr>
          <w:p>
            <w:pPr>
              <w:widowControl/>
              <w:jc w:val="left"/>
              <w:rPr>
                <w:rFonts w:ascii="宋体" w:hAnsi="宋体" w:eastAsia="宋体" w:cs="宋体"/>
                <w:kern w:val="0"/>
                <w:sz w:val="20"/>
                <w:szCs w:val="20"/>
              </w:rPr>
            </w:pPr>
          </w:p>
        </w:tc>
        <w:tc>
          <w:tcPr>
            <w:tcW w:w="2355" w:type="dxa"/>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血小板</w:t>
            </w:r>
          </w:p>
        </w:tc>
        <w:tc>
          <w:tcPr>
            <w:tcW w:w="640" w:type="dxa"/>
            <w:vMerge w:val="continue"/>
            <w:vAlign w:val="center"/>
          </w:tcPr>
          <w:p>
            <w:pPr>
              <w:widowControl/>
              <w:jc w:val="left"/>
              <w:rPr>
                <w:rFonts w:ascii="宋体" w:hAnsi="宋体" w:eastAsia="宋体" w:cs="宋体"/>
                <w:kern w:val="0"/>
                <w:sz w:val="20"/>
                <w:szCs w:val="20"/>
              </w:rPr>
            </w:pPr>
          </w:p>
        </w:tc>
        <w:tc>
          <w:tcPr>
            <w:tcW w:w="640" w:type="dxa"/>
            <w:vMerge w:val="continue"/>
            <w:vAlign w:val="center"/>
          </w:tcPr>
          <w:p>
            <w:pPr>
              <w:widowControl/>
              <w:jc w:val="left"/>
              <w:rPr>
                <w:rFonts w:ascii="宋体" w:hAnsi="宋体" w:eastAsia="宋体" w:cs="宋体"/>
                <w:kern w:val="0"/>
                <w:sz w:val="20"/>
                <w:szCs w:val="20"/>
              </w:rPr>
            </w:pPr>
          </w:p>
        </w:tc>
        <w:tc>
          <w:tcPr>
            <w:tcW w:w="640" w:type="dxa"/>
            <w:vMerge w:val="continue"/>
            <w:vAlign w:val="center"/>
          </w:tcPr>
          <w:p>
            <w:pPr>
              <w:widowControl/>
              <w:jc w:val="left"/>
              <w:rPr>
                <w:rFonts w:ascii="宋体" w:hAnsi="宋体" w:eastAsia="宋体" w:cs="宋体"/>
                <w:kern w:val="0"/>
                <w:sz w:val="20"/>
                <w:szCs w:val="20"/>
              </w:rPr>
            </w:pPr>
          </w:p>
        </w:tc>
        <w:tc>
          <w:tcPr>
            <w:tcW w:w="5016" w:type="dxa"/>
            <w:vMerge w:val="continue"/>
            <w:vAlign w:val="center"/>
          </w:tcPr>
          <w:p>
            <w:pPr>
              <w:widowControl/>
              <w:jc w:val="left"/>
              <w:rPr>
                <w:rFonts w:ascii="宋体" w:hAnsi="宋体" w:eastAsia="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282" w:hRule="atLeast"/>
        </w:trPr>
        <w:tc>
          <w:tcPr>
            <w:tcW w:w="916" w:type="dxa"/>
            <w:vMerge w:val="continue"/>
            <w:vAlign w:val="center"/>
          </w:tcPr>
          <w:p>
            <w:pPr>
              <w:widowControl/>
              <w:jc w:val="left"/>
              <w:rPr>
                <w:rFonts w:ascii="宋体" w:hAnsi="宋体" w:eastAsia="宋体" w:cs="宋体"/>
                <w:kern w:val="0"/>
                <w:sz w:val="20"/>
                <w:szCs w:val="20"/>
              </w:rPr>
            </w:pPr>
          </w:p>
        </w:tc>
        <w:tc>
          <w:tcPr>
            <w:tcW w:w="2355" w:type="dxa"/>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红细胞压积</w:t>
            </w:r>
          </w:p>
        </w:tc>
        <w:tc>
          <w:tcPr>
            <w:tcW w:w="640" w:type="dxa"/>
            <w:vMerge w:val="continue"/>
            <w:vAlign w:val="center"/>
          </w:tcPr>
          <w:p>
            <w:pPr>
              <w:widowControl/>
              <w:jc w:val="left"/>
              <w:rPr>
                <w:rFonts w:ascii="宋体" w:hAnsi="宋体" w:eastAsia="宋体" w:cs="宋体"/>
                <w:kern w:val="0"/>
                <w:sz w:val="20"/>
                <w:szCs w:val="20"/>
              </w:rPr>
            </w:pPr>
          </w:p>
        </w:tc>
        <w:tc>
          <w:tcPr>
            <w:tcW w:w="640" w:type="dxa"/>
            <w:vMerge w:val="continue"/>
            <w:vAlign w:val="center"/>
          </w:tcPr>
          <w:p>
            <w:pPr>
              <w:widowControl/>
              <w:jc w:val="left"/>
              <w:rPr>
                <w:rFonts w:ascii="宋体" w:hAnsi="宋体" w:eastAsia="宋体" w:cs="宋体"/>
                <w:kern w:val="0"/>
                <w:sz w:val="20"/>
                <w:szCs w:val="20"/>
              </w:rPr>
            </w:pPr>
          </w:p>
        </w:tc>
        <w:tc>
          <w:tcPr>
            <w:tcW w:w="640" w:type="dxa"/>
            <w:vMerge w:val="continue"/>
            <w:vAlign w:val="center"/>
          </w:tcPr>
          <w:p>
            <w:pPr>
              <w:widowControl/>
              <w:jc w:val="left"/>
              <w:rPr>
                <w:rFonts w:ascii="宋体" w:hAnsi="宋体" w:eastAsia="宋体" w:cs="宋体"/>
                <w:kern w:val="0"/>
                <w:sz w:val="20"/>
                <w:szCs w:val="20"/>
              </w:rPr>
            </w:pPr>
          </w:p>
        </w:tc>
        <w:tc>
          <w:tcPr>
            <w:tcW w:w="5016" w:type="dxa"/>
            <w:vMerge w:val="continue"/>
            <w:vAlign w:val="center"/>
          </w:tcPr>
          <w:p>
            <w:pPr>
              <w:widowControl/>
              <w:jc w:val="left"/>
              <w:rPr>
                <w:rFonts w:ascii="宋体" w:hAnsi="宋体" w:eastAsia="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285" w:hRule="atLeast"/>
        </w:trPr>
        <w:tc>
          <w:tcPr>
            <w:tcW w:w="916" w:type="dxa"/>
            <w:vMerge w:val="continue"/>
            <w:vAlign w:val="center"/>
          </w:tcPr>
          <w:p>
            <w:pPr>
              <w:widowControl/>
              <w:jc w:val="left"/>
              <w:rPr>
                <w:rFonts w:ascii="宋体" w:hAnsi="宋体" w:eastAsia="宋体" w:cs="宋体"/>
                <w:kern w:val="0"/>
                <w:sz w:val="20"/>
                <w:szCs w:val="20"/>
              </w:rPr>
            </w:pPr>
          </w:p>
        </w:tc>
        <w:tc>
          <w:tcPr>
            <w:tcW w:w="2355" w:type="dxa"/>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w:t>
            </w:r>
          </w:p>
        </w:tc>
        <w:tc>
          <w:tcPr>
            <w:tcW w:w="640" w:type="dxa"/>
            <w:vMerge w:val="continue"/>
            <w:vAlign w:val="center"/>
          </w:tcPr>
          <w:p>
            <w:pPr>
              <w:widowControl/>
              <w:jc w:val="left"/>
              <w:rPr>
                <w:rFonts w:ascii="宋体" w:hAnsi="宋体" w:eastAsia="宋体" w:cs="宋体"/>
                <w:kern w:val="0"/>
                <w:sz w:val="20"/>
                <w:szCs w:val="20"/>
              </w:rPr>
            </w:pPr>
          </w:p>
        </w:tc>
        <w:tc>
          <w:tcPr>
            <w:tcW w:w="640" w:type="dxa"/>
            <w:vMerge w:val="continue"/>
            <w:vAlign w:val="center"/>
          </w:tcPr>
          <w:p>
            <w:pPr>
              <w:widowControl/>
              <w:jc w:val="left"/>
              <w:rPr>
                <w:rFonts w:ascii="宋体" w:hAnsi="宋体" w:eastAsia="宋体" w:cs="宋体"/>
                <w:kern w:val="0"/>
                <w:sz w:val="20"/>
                <w:szCs w:val="20"/>
              </w:rPr>
            </w:pPr>
          </w:p>
        </w:tc>
        <w:tc>
          <w:tcPr>
            <w:tcW w:w="640" w:type="dxa"/>
            <w:vMerge w:val="continue"/>
            <w:vAlign w:val="center"/>
          </w:tcPr>
          <w:p>
            <w:pPr>
              <w:widowControl/>
              <w:jc w:val="left"/>
              <w:rPr>
                <w:rFonts w:ascii="宋体" w:hAnsi="宋体" w:eastAsia="宋体" w:cs="宋体"/>
                <w:kern w:val="0"/>
                <w:sz w:val="20"/>
                <w:szCs w:val="20"/>
              </w:rPr>
            </w:pPr>
          </w:p>
        </w:tc>
        <w:tc>
          <w:tcPr>
            <w:tcW w:w="5016" w:type="dxa"/>
            <w:vMerge w:val="continue"/>
            <w:vAlign w:val="center"/>
          </w:tcPr>
          <w:p>
            <w:pPr>
              <w:widowControl/>
              <w:jc w:val="left"/>
              <w:rPr>
                <w:rFonts w:ascii="宋体" w:hAnsi="宋体" w:eastAsia="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270" w:hRule="atLeast"/>
        </w:trPr>
        <w:tc>
          <w:tcPr>
            <w:tcW w:w="3271" w:type="dxa"/>
            <w:gridSpan w:val="2"/>
            <w:shd w:val="clear" w:color="000000" w:fill="C0C0C0"/>
            <w:vAlign w:val="center"/>
          </w:tcPr>
          <w:p>
            <w:pPr>
              <w:widowControl/>
              <w:jc w:val="left"/>
              <w:rPr>
                <w:rFonts w:ascii="宋体" w:hAnsi="宋体" w:eastAsia="宋体" w:cs="宋体"/>
                <w:b/>
                <w:bCs/>
                <w:kern w:val="0"/>
                <w:sz w:val="22"/>
              </w:rPr>
            </w:pPr>
            <w:r>
              <w:rPr>
                <w:rFonts w:hint="eastAsia" w:ascii="宋体" w:hAnsi="宋体" w:eastAsia="宋体" w:cs="宋体"/>
                <w:b/>
                <w:bCs/>
                <w:kern w:val="0"/>
                <w:sz w:val="22"/>
              </w:rPr>
              <w:t>尿液检查</w:t>
            </w:r>
          </w:p>
        </w:tc>
        <w:tc>
          <w:tcPr>
            <w:tcW w:w="640" w:type="dxa"/>
            <w:shd w:val="clear" w:color="000000" w:fill="C0C0C0"/>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640" w:type="dxa"/>
            <w:shd w:val="clear" w:color="000000" w:fill="C0C0C0"/>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640" w:type="dxa"/>
            <w:shd w:val="clear" w:color="000000" w:fill="C0C0C0"/>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5016" w:type="dxa"/>
            <w:shd w:val="clear" w:color="000000" w:fill="C0C0C0"/>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285" w:hRule="atLeast"/>
        </w:trPr>
        <w:tc>
          <w:tcPr>
            <w:tcW w:w="916" w:type="dxa"/>
            <w:vMerge w:val="restart"/>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尿常规</w:t>
            </w:r>
          </w:p>
        </w:tc>
        <w:tc>
          <w:tcPr>
            <w:tcW w:w="2355" w:type="dxa"/>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尿糖</w:t>
            </w:r>
          </w:p>
        </w:tc>
        <w:tc>
          <w:tcPr>
            <w:tcW w:w="640" w:type="dxa"/>
            <w:vMerge w:val="restart"/>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w:t>
            </w:r>
          </w:p>
        </w:tc>
        <w:tc>
          <w:tcPr>
            <w:tcW w:w="640" w:type="dxa"/>
            <w:vMerge w:val="restart"/>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w:t>
            </w:r>
          </w:p>
        </w:tc>
        <w:tc>
          <w:tcPr>
            <w:tcW w:w="640" w:type="dxa"/>
            <w:vMerge w:val="restart"/>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w:t>
            </w:r>
          </w:p>
        </w:tc>
        <w:tc>
          <w:tcPr>
            <w:tcW w:w="5016" w:type="dxa"/>
            <w:vMerge w:val="restart"/>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辅助诊断泌尿系、肝胆疾病以及一些内分泌疾病的信息，为临床诊断提供有价值的信息。</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285" w:hRule="atLeast"/>
        </w:trPr>
        <w:tc>
          <w:tcPr>
            <w:tcW w:w="916" w:type="dxa"/>
            <w:vMerge w:val="continue"/>
            <w:vAlign w:val="center"/>
          </w:tcPr>
          <w:p>
            <w:pPr>
              <w:widowControl/>
              <w:jc w:val="left"/>
              <w:rPr>
                <w:rFonts w:ascii="宋体" w:hAnsi="宋体" w:eastAsia="宋体" w:cs="宋体"/>
                <w:kern w:val="0"/>
                <w:sz w:val="20"/>
                <w:szCs w:val="20"/>
              </w:rPr>
            </w:pPr>
          </w:p>
        </w:tc>
        <w:tc>
          <w:tcPr>
            <w:tcW w:w="2355" w:type="dxa"/>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尿蛋白</w:t>
            </w:r>
          </w:p>
        </w:tc>
        <w:tc>
          <w:tcPr>
            <w:tcW w:w="640" w:type="dxa"/>
            <w:vMerge w:val="continue"/>
            <w:vAlign w:val="center"/>
          </w:tcPr>
          <w:p>
            <w:pPr>
              <w:widowControl/>
              <w:jc w:val="left"/>
              <w:rPr>
                <w:rFonts w:ascii="宋体" w:hAnsi="宋体" w:eastAsia="宋体" w:cs="宋体"/>
                <w:kern w:val="0"/>
                <w:sz w:val="20"/>
                <w:szCs w:val="20"/>
              </w:rPr>
            </w:pPr>
          </w:p>
        </w:tc>
        <w:tc>
          <w:tcPr>
            <w:tcW w:w="640" w:type="dxa"/>
            <w:vMerge w:val="continue"/>
            <w:vAlign w:val="center"/>
          </w:tcPr>
          <w:p>
            <w:pPr>
              <w:widowControl/>
              <w:jc w:val="left"/>
              <w:rPr>
                <w:rFonts w:ascii="宋体" w:hAnsi="宋体" w:eastAsia="宋体" w:cs="宋体"/>
                <w:kern w:val="0"/>
                <w:sz w:val="20"/>
                <w:szCs w:val="20"/>
              </w:rPr>
            </w:pPr>
          </w:p>
        </w:tc>
        <w:tc>
          <w:tcPr>
            <w:tcW w:w="640" w:type="dxa"/>
            <w:vMerge w:val="continue"/>
            <w:vAlign w:val="center"/>
          </w:tcPr>
          <w:p>
            <w:pPr>
              <w:widowControl/>
              <w:jc w:val="left"/>
              <w:rPr>
                <w:rFonts w:ascii="宋体" w:hAnsi="宋体" w:eastAsia="宋体" w:cs="宋体"/>
                <w:kern w:val="0"/>
                <w:sz w:val="20"/>
                <w:szCs w:val="20"/>
              </w:rPr>
            </w:pPr>
          </w:p>
        </w:tc>
        <w:tc>
          <w:tcPr>
            <w:tcW w:w="5016" w:type="dxa"/>
            <w:vMerge w:val="continue"/>
            <w:vAlign w:val="center"/>
          </w:tcPr>
          <w:p>
            <w:pPr>
              <w:widowControl/>
              <w:jc w:val="left"/>
              <w:rPr>
                <w:rFonts w:ascii="宋体" w:hAnsi="宋体" w:eastAsia="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285" w:hRule="atLeast"/>
        </w:trPr>
        <w:tc>
          <w:tcPr>
            <w:tcW w:w="916" w:type="dxa"/>
            <w:vMerge w:val="continue"/>
            <w:vAlign w:val="center"/>
          </w:tcPr>
          <w:p>
            <w:pPr>
              <w:widowControl/>
              <w:jc w:val="left"/>
              <w:rPr>
                <w:rFonts w:ascii="宋体" w:hAnsi="宋体" w:eastAsia="宋体" w:cs="宋体"/>
                <w:kern w:val="0"/>
                <w:sz w:val="20"/>
                <w:szCs w:val="20"/>
              </w:rPr>
            </w:pPr>
          </w:p>
        </w:tc>
        <w:tc>
          <w:tcPr>
            <w:tcW w:w="2355" w:type="dxa"/>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尿潜血</w:t>
            </w:r>
          </w:p>
        </w:tc>
        <w:tc>
          <w:tcPr>
            <w:tcW w:w="640" w:type="dxa"/>
            <w:vMerge w:val="continue"/>
            <w:vAlign w:val="center"/>
          </w:tcPr>
          <w:p>
            <w:pPr>
              <w:widowControl/>
              <w:jc w:val="left"/>
              <w:rPr>
                <w:rFonts w:ascii="宋体" w:hAnsi="宋体" w:eastAsia="宋体" w:cs="宋体"/>
                <w:kern w:val="0"/>
                <w:sz w:val="20"/>
                <w:szCs w:val="20"/>
              </w:rPr>
            </w:pPr>
          </w:p>
        </w:tc>
        <w:tc>
          <w:tcPr>
            <w:tcW w:w="640" w:type="dxa"/>
            <w:vMerge w:val="continue"/>
            <w:vAlign w:val="center"/>
          </w:tcPr>
          <w:p>
            <w:pPr>
              <w:widowControl/>
              <w:jc w:val="left"/>
              <w:rPr>
                <w:rFonts w:ascii="宋体" w:hAnsi="宋体" w:eastAsia="宋体" w:cs="宋体"/>
                <w:kern w:val="0"/>
                <w:sz w:val="20"/>
                <w:szCs w:val="20"/>
              </w:rPr>
            </w:pPr>
          </w:p>
        </w:tc>
        <w:tc>
          <w:tcPr>
            <w:tcW w:w="640" w:type="dxa"/>
            <w:vMerge w:val="continue"/>
            <w:vAlign w:val="center"/>
          </w:tcPr>
          <w:p>
            <w:pPr>
              <w:widowControl/>
              <w:jc w:val="left"/>
              <w:rPr>
                <w:rFonts w:ascii="宋体" w:hAnsi="宋体" w:eastAsia="宋体" w:cs="宋体"/>
                <w:kern w:val="0"/>
                <w:sz w:val="20"/>
                <w:szCs w:val="20"/>
              </w:rPr>
            </w:pPr>
          </w:p>
        </w:tc>
        <w:tc>
          <w:tcPr>
            <w:tcW w:w="5016" w:type="dxa"/>
            <w:vMerge w:val="continue"/>
            <w:vAlign w:val="center"/>
          </w:tcPr>
          <w:p>
            <w:pPr>
              <w:widowControl/>
              <w:jc w:val="left"/>
              <w:rPr>
                <w:rFonts w:ascii="宋体" w:hAnsi="宋体" w:eastAsia="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285" w:hRule="atLeast"/>
        </w:trPr>
        <w:tc>
          <w:tcPr>
            <w:tcW w:w="916" w:type="dxa"/>
            <w:vMerge w:val="continue"/>
            <w:vAlign w:val="center"/>
          </w:tcPr>
          <w:p>
            <w:pPr>
              <w:widowControl/>
              <w:jc w:val="left"/>
              <w:rPr>
                <w:rFonts w:ascii="宋体" w:hAnsi="宋体" w:eastAsia="宋体" w:cs="宋体"/>
                <w:kern w:val="0"/>
                <w:sz w:val="20"/>
                <w:szCs w:val="20"/>
              </w:rPr>
            </w:pPr>
          </w:p>
        </w:tc>
        <w:tc>
          <w:tcPr>
            <w:tcW w:w="2355" w:type="dxa"/>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比重</w:t>
            </w:r>
          </w:p>
        </w:tc>
        <w:tc>
          <w:tcPr>
            <w:tcW w:w="640" w:type="dxa"/>
            <w:vMerge w:val="continue"/>
            <w:vAlign w:val="center"/>
          </w:tcPr>
          <w:p>
            <w:pPr>
              <w:widowControl/>
              <w:jc w:val="left"/>
              <w:rPr>
                <w:rFonts w:ascii="宋体" w:hAnsi="宋体" w:eastAsia="宋体" w:cs="宋体"/>
                <w:kern w:val="0"/>
                <w:sz w:val="20"/>
                <w:szCs w:val="20"/>
              </w:rPr>
            </w:pPr>
          </w:p>
        </w:tc>
        <w:tc>
          <w:tcPr>
            <w:tcW w:w="640" w:type="dxa"/>
            <w:vMerge w:val="continue"/>
            <w:vAlign w:val="center"/>
          </w:tcPr>
          <w:p>
            <w:pPr>
              <w:widowControl/>
              <w:jc w:val="left"/>
              <w:rPr>
                <w:rFonts w:ascii="宋体" w:hAnsi="宋体" w:eastAsia="宋体" w:cs="宋体"/>
                <w:kern w:val="0"/>
                <w:sz w:val="20"/>
                <w:szCs w:val="20"/>
              </w:rPr>
            </w:pPr>
          </w:p>
        </w:tc>
        <w:tc>
          <w:tcPr>
            <w:tcW w:w="640" w:type="dxa"/>
            <w:vMerge w:val="continue"/>
            <w:vAlign w:val="center"/>
          </w:tcPr>
          <w:p>
            <w:pPr>
              <w:widowControl/>
              <w:jc w:val="left"/>
              <w:rPr>
                <w:rFonts w:ascii="宋体" w:hAnsi="宋体" w:eastAsia="宋体" w:cs="宋体"/>
                <w:kern w:val="0"/>
                <w:sz w:val="20"/>
                <w:szCs w:val="20"/>
              </w:rPr>
            </w:pPr>
          </w:p>
        </w:tc>
        <w:tc>
          <w:tcPr>
            <w:tcW w:w="5016" w:type="dxa"/>
            <w:vMerge w:val="continue"/>
            <w:vAlign w:val="center"/>
          </w:tcPr>
          <w:p>
            <w:pPr>
              <w:widowControl/>
              <w:jc w:val="left"/>
              <w:rPr>
                <w:rFonts w:ascii="宋体" w:hAnsi="宋体" w:eastAsia="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285" w:hRule="atLeast"/>
        </w:trPr>
        <w:tc>
          <w:tcPr>
            <w:tcW w:w="916" w:type="dxa"/>
            <w:vMerge w:val="continue"/>
            <w:vAlign w:val="center"/>
          </w:tcPr>
          <w:p>
            <w:pPr>
              <w:widowControl/>
              <w:jc w:val="left"/>
              <w:rPr>
                <w:rFonts w:ascii="宋体" w:hAnsi="宋体" w:eastAsia="宋体" w:cs="宋体"/>
                <w:kern w:val="0"/>
                <w:sz w:val="20"/>
                <w:szCs w:val="20"/>
              </w:rPr>
            </w:pPr>
          </w:p>
        </w:tc>
        <w:tc>
          <w:tcPr>
            <w:tcW w:w="2355" w:type="dxa"/>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w:t>
            </w:r>
          </w:p>
        </w:tc>
        <w:tc>
          <w:tcPr>
            <w:tcW w:w="640" w:type="dxa"/>
            <w:vMerge w:val="continue"/>
            <w:vAlign w:val="center"/>
          </w:tcPr>
          <w:p>
            <w:pPr>
              <w:widowControl/>
              <w:jc w:val="left"/>
              <w:rPr>
                <w:rFonts w:ascii="宋体" w:hAnsi="宋体" w:eastAsia="宋体" w:cs="宋体"/>
                <w:kern w:val="0"/>
                <w:sz w:val="20"/>
                <w:szCs w:val="20"/>
              </w:rPr>
            </w:pPr>
          </w:p>
        </w:tc>
        <w:tc>
          <w:tcPr>
            <w:tcW w:w="640" w:type="dxa"/>
            <w:vMerge w:val="continue"/>
            <w:vAlign w:val="center"/>
          </w:tcPr>
          <w:p>
            <w:pPr>
              <w:widowControl/>
              <w:jc w:val="left"/>
              <w:rPr>
                <w:rFonts w:ascii="宋体" w:hAnsi="宋体" w:eastAsia="宋体" w:cs="宋体"/>
                <w:kern w:val="0"/>
                <w:sz w:val="20"/>
                <w:szCs w:val="20"/>
              </w:rPr>
            </w:pPr>
          </w:p>
        </w:tc>
        <w:tc>
          <w:tcPr>
            <w:tcW w:w="640" w:type="dxa"/>
            <w:vMerge w:val="continue"/>
            <w:vAlign w:val="center"/>
          </w:tcPr>
          <w:p>
            <w:pPr>
              <w:widowControl/>
              <w:jc w:val="left"/>
              <w:rPr>
                <w:rFonts w:ascii="宋体" w:hAnsi="宋体" w:eastAsia="宋体" w:cs="宋体"/>
                <w:kern w:val="0"/>
                <w:sz w:val="20"/>
                <w:szCs w:val="20"/>
              </w:rPr>
            </w:pPr>
          </w:p>
        </w:tc>
        <w:tc>
          <w:tcPr>
            <w:tcW w:w="5016" w:type="dxa"/>
            <w:vMerge w:val="continue"/>
            <w:vAlign w:val="center"/>
          </w:tcPr>
          <w:p>
            <w:pPr>
              <w:widowControl/>
              <w:jc w:val="left"/>
              <w:rPr>
                <w:rFonts w:ascii="宋体" w:hAnsi="宋体" w:eastAsia="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270" w:hRule="atLeast"/>
        </w:trPr>
        <w:tc>
          <w:tcPr>
            <w:tcW w:w="3271" w:type="dxa"/>
            <w:gridSpan w:val="2"/>
            <w:shd w:val="clear" w:color="000000" w:fill="C0C0C0"/>
            <w:vAlign w:val="center"/>
          </w:tcPr>
          <w:p>
            <w:pPr>
              <w:widowControl/>
              <w:jc w:val="left"/>
              <w:rPr>
                <w:rFonts w:ascii="宋体" w:hAnsi="宋体" w:eastAsia="宋体" w:cs="宋体"/>
                <w:b/>
                <w:bCs/>
                <w:kern w:val="0"/>
                <w:sz w:val="22"/>
              </w:rPr>
            </w:pPr>
            <w:r>
              <w:rPr>
                <w:rFonts w:hint="eastAsia" w:ascii="宋体" w:hAnsi="宋体" w:eastAsia="宋体" w:cs="宋体"/>
                <w:b/>
                <w:bCs/>
                <w:kern w:val="0"/>
                <w:sz w:val="22"/>
              </w:rPr>
              <w:t>肝胆疾病检测系列</w:t>
            </w:r>
          </w:p>
        </w:tc>
        <w:tc>
          <w:tcPr>
            <w:tcW w:w="640" w:type="dxa"/>
            <w:shd w:val="clear" w:color="000000" w:fill="C0C0C0"/>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　</w:t>
            </w:r>
          </w:p>
        </w:tc>
        <w:tc>
          <w:tcPr>
            <w:tcW w:w="640" w:type="dxa"/>
            <w:shd w:val="clear" w:color="000000" w:fill="C0C0C0"/>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　</w:t>
            </w:r>
          </w:p>
        </w:tc>
        <w:tc>
          <w:tcPr>
            <w:tcW w:w="640" w:type="dxa"/>
            <w:shd w:val="clear" w:color="000000" w:fill="C0C0C0"/>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　</w:t>
            </w:r>
          </w:p>
        </w:tc>
        <w:tc>
          <w:tcPr>
            <w:tcW w:w="5016" w:type="dxa"/>
            <w:shd w:val="clear" w:color="000000" w:fill="C0C0C0"/>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　</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480" w:hRule="atLeast"/>
        </w:trPr>
        <w:tc>
          <w:tcPr>
            <w:tcW w:w="3271" w:type="dxa"/>
            <w:gridSpan w:val="2"/>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肝功11项</w:t>
            </w:r>
          </w:p>
        </w:tc>
        <w:tc>
          <w:tcPr>
            <w:tcW w:w="640" w:type="dxa"/>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w:t>
            </w:r>
          </w:p>
        </w:tc>
        <w:tc>
          <w:tcPr>
            <w:tcW w:w="640" w:type="dxa"/>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w:t>
            </w:r>
          </w:p>
        </w:tc>
        <w:tc>
          <w:tcPr>
            <w:tcW w:w="640" w:type="dxa"/>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w:t>
            </w:r>
          </w:p>
        </w:tc>
        <w:tc>
          <w:tcPr>
            <w:tcW w:w="5016" w:type="dxa"/>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ALT\AST\ALP\GGT\TBIL\DBIL\IBIL\TP\ALB\GLOB\(A/G)</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480" w:hRule="atLeast"/>
        </w:trPr>
        <w:tc>
          <w:tcPr>
            <w:tcW w:w="3271" w:type="dxa"/>
            <w:gridSpan w:val="2"/>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乙肝五项（定性）</w:t>
            </w:r>
          </w:p>
        </w:tc>
        <w:tc>
          <w:tcPr>
            <w:tcW w:w="640" w:type="dxa"/>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w:t>
            </w:r>
          </w:p>
        </w:tc>
        <w:tc>
          <w:tcPr>
            <w:tcW w:w="640" w:type="dxa"/>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w:t>
            </w:r>
          </w:p>
        </w:tc>
        <w:tc>
          <w:tcPr>
            <w:tcW w:w="640" w:type="dxa"/>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w:t>
            </w:r>
          </w:p>
        </w:tc>
        <w:tc>
          <w:tcPr>
            <w:tcW w:w="5016" w:type="dxa"/>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初步判断慢性肝炎活动性或非活动性,反映病毒感染的状态,人群乙肝疫苗注射效果的判断等。</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270" w:hRule="atLeast"/>
        </w:trPr>
        <w:tc>
          <w:tcPr>
            <w:tcW w:w="3271" w:type="dxa"/>
            <w:gridSpan w:val="2"/>
            <w:shd w:val="clear" w:color="000000" w:fill="C0C0C0"/>
            <w:vAlign w:val="center"/>
          </w:tcPr>
          <w:p>
            <w:pPr>
              <w:widowControl/>
              <w:jc w:val="left"/>
              <w:rPr>
                <w:rFonts w:ascii="宋体" w:hAnsi="宋体" w:eastAsia="宋体" w:cs="宋体"/>
                <w:b/>
                <w:bCs/>
                <w:kern w:val="0"/>
                <w:sz w:val="22"/>
              </w:rPr>
            </w:pPr>
            <w:r>
              <w:rPr>
                <w:rFonts w:hint="eastAsia" w:ascii="宋体" w:hAnsi="宋体" w:eastAsia="宋体" w:cs="宋体"/>
                <w:b/>
                <w:bCs/>
                <w:kern w:val="0"/>
                <w:sz w:val="22"/>
              </w:rPr>
              <w:t>心脑血管疾病检测系列</w:t>
            </w:r>
          </w:p>
        </w:tc>
        <w:tc>
          <w:tcPr>
            <w:tcW w:w="640" w:type="dxa"/>
            <w:shd w:val="clear" w:color="000000" w:fill="C0C0C0"/>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640" w:type="dxa"/>
            <w:shd w:val="clear" w:color="000000" w:fill="C0C0C0"/>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640" w:type="dxa"/>
            <w:shd w:val="clear" w:color="000000" w:fill="C0C0C0"/>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5016" w:type="dxa"/>
            <w:shd w:val="clear" w:color="000000" w:fill="C0C0C0"/>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675" w:hRule="atLeast"/>
        </w:trPr>
        <w:tc>
          <w:tcPr>
            <w:tcW w:w="3271" w:type="dxa"/>
            <w:gridSpan w:val="2"/>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血脂四项（TG\TC\HDL-C\LDL-C）</w:t>
            </w:r>
          </w:p>
        </w:tc>
        <w:tc>
          <w:tcPr>
            <w:tcW w:w="640" w:type="dxa"/>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w:t>
            </w:r>
          </w:p>
        </w:tc>
        <w:tc>
          <w:tcPr>
            <w:tcW w:w="640" w:type="dxa"/>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w:t>
            </w:r>
          </w:p>
        </w:tc>
        <w:tc>
          <w:tcPr>
            <w:tcW w:w="640" w:type="dxa"/>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w:t>
            </w:r>
          </w:p>
        </w:tc>
        <w:tc>
          <w:tcPr>
            <w:tcW w:w="5016" w:type="dxa"/>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TG\TC\HDL-C\LDL-C</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720" w:hRule="atLeast"/>
        </w:trPr>
        <w:tc>
          <w:tcPr>
            <w:tcW w:w="3271" w:type="dxa"/>
            <w:gridSpan w:val="2"/>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超敏C反应蛋白测定(hs-CRP)</w:t>
            </w:r>
          </w:p>
        </w:tc>
        <w:tc>
          <w:tcPr>
            <w:tcW w:w="640" w:type="dxa"/>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w:t>
            </w:r>
          </w:p>
        </w:tc>
        <w:tc>
          <w:tcPr>
            <w:tcW w:w="640" w:type="dxa"/>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w:t>
            </w:r>
          </w:p>
        </w:tc>
        <w:tc>
          <w:tcPr>
            <w:tcW w:w="640" w:type="dxa"/>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w:t>
            </w:r>
          </w:p>
        </w:tc>
        <w:tc>
          <w:tcPr>
            <w:tcW w:w="5016" w:type="dxa"/>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是目前临床上最常用的急性时相反应指标。增高：急性心梗、创伤、术后、急慢性感染、恶性肿瘤、急性风湿病、急性类风湿关节炎等。</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582" w:hRule="atLeast"/>
        </w:trPr>
        <w:tc>
          <w:tcPr>
            <w:tcW w:w="3271" w:type="dxa"/>
            <w:gridSpan w:val="2"/>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 xml:space="preserve">同型半胱氨酸（HCY)  </w:t>
            </w:r>
          </w:p>
        </w:tc>
        <w:tc>
          <w:tcPr>
            <w:tcW w:w="640" w:type="dxa"/>
            <w:shd w:val="clear" w:color="000000" w:fill="FFFFFF"/>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w:t>
            </w:r>
          </w:p>
        </w:tc>
        <w:tc>
          <w:tcPr>
            <w:tcW w:w="640" w:type="dxa"/>
            <w:shd w:val="clear" w:color="000000" w:fill="FFFFFF"/>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w:t>
            </w:r>
          </w:p>
        </w:tc>
        <w:tc>
          <w:tcPr>
            <w:tcW w:w="640" w:type="dxa"/>
            <w:shd w:val="clear" w:color="000000" w:fill="FFFFFF"/>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w:t>
            </w:r>
          </w:p>
        </w:tc>
        <w:tc>
          <w:tcPr>
            <w:tcW w:w="5016" w:type="dxa"/>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 xml:space="preserve">动脉粥样硬化发生的相关因子 </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270" w:hRule="atLeast"/>
        </w:trPr>
        <w:tc>
          <w:tcPr>
            <w:tcW w:w="3271" w:type="dxa"/>
            <w:gridSpan w:val="2"/>
            <w:shd w:val="clear" w:color="000000" w:fill="C0C0C0"/>
            <w:vAlign w:val="center"/>
          </w:tcPr>
          <w:p>
            <w:pPr>
              <w:widowControl/>
              <w:jc w:val="left"/>
              <w:rPr>
                <w:rFonts w:ascii="宋体" w:hAnsi="宋体" w:eastAsia="宋体" w:cs="宋体"/>
                <w:b/>
                <w:bCs/>
                <w:kern w:val="0"/>
                <w:sz w:val="22"/>
              </w:rPr>
            </w:pPr>
            <w:r>
              <w:rPr>
                <w:rFonts w:hint="eastAsia" w:ascii="宋体" w:hAnsi="宋体" w:eastAsia="宋体" w:cs="宋体"/>
                <w:b/>
                <w:bCs/>
                <w:kern w:val="0"/>
                <w:sz w:val="22"/>
              </w:rPr>
              <w:t>肾功能检测系列</w:t>
            </w:r>
          </w:p>
        </w:tc>
        <w:tc>
          <w:tcPr>
            <w:tcW w:w="640" w:type="dxa"/>
            <w:shd w:val="clear" w:color="000000" w:fill="C0C0C0"/>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640" w:type="dxa"/>
            <w:shd w:val="clear" w:color="000000" w:fill="C0C0C0"/>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640" w:type="dxa"/>
            <w:shd w:val="clear" w:color="000000" w:fill="C0C0C0"/>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5016" w:type="dxa"/>
            <w:shd w:val="clear" w:color="000000" w:fill="C0C0C0"/>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379" w:hRule="atLeast"/>
        </w:trPr>
        <w:tc>
          <w:tcPr>
            <w:tcW w:w="3271" w:type="dxa"/>
            <w:gridSpan w:val="2"/>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肾功三项</w:t>
            </w:r>
          </w:p>
        </w:tc>
        <w:tc>
          <w:tcPr>
            <w:tcW w:w="640" w:type="dxa"/>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w:t>
            </w:r>
          </w:p>
        </w:tc>
        <w:tc>
          <w:tcPr>
            <w:tcW w:w="640" w:type="dxa"/>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w:t>
            </w:r>
          </w:p>
        </w:tc>
        <w:tc>
          <w:tcPr>
            <w:tcW w:w="640" w:type="dxa"/>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w:t>
            </w:r>
          </w:p>
        </w:tc>
        <w:tc>
          <w:tcPr>
            <w:tcW w:w="5016" w:type="dxa"/>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270" w:hRule="atLeast"/>
        </w:trPr>
        <w:tc>
          <w:tcPr>
            <w:tcW w:w="3271" w:type="dxa"/>
            <w:gridSpan w:val="2"/>
            <w:shd w:val="clear" w:color="000000" w:fill="C0C0C0"/>
            <w:vAlign w:val="center"/>
          </w:tcPr>
          <w:p>
            <w:pPr>
              <w:widowControl/>
              <w:jc w:val="left"/>
              <w:rPr>
                <w:rFonts w:ascii="宋体" w:hAnsi="宋体" w:eastAsia="宋体" w:cs="宋体"/>
                <w:b/>
                <w:bCs/>
                <w:kern w:val="0"/>
                <w:sz w:val="22"/>
              </w:rPr>
            </w:pPr>
            <w:r>
              <w:rPr>
                <w:rFonts w:hint="eastAsia" w:ascii="宋体" w:hAnsi="宋体" w:eastAsia="宋体" w:cs="宋体"/>
                <w:b/>
                <w:bCs/>
                <w:kern w:val="0"/>
                <w:sz w:val="22"/>
              </w:rPr>
              <w:t>肿瘤检测系列</w:t>
            </w:r>
          </w:p>
        </w:tc>
        <w:tc>
          <w:tcPr>
            <w:tcW w:w="640" w:type="dxa"/>
            <w:shd w:val="clear" w:color="000000" w:fill="C0C0C0"/>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640" w:type="dxa"/>
            <w:shd w:val="clear" w:color="000000" w:fill="C0C0C0"/>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640" w:type="dxa"/>
            <w:shd w:val="clear" w:color="000000" w:fill="C0C0C0"/>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5016" w:type="dxa"/>
            <w:shd w:val="clear" w:color="000000" w:fill="C0C0C0"/>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510" w:hRule="atLeast"/>
        </w:trPr>
        <w:tc>
          <w:tcPr>
            <w:tcW w:w="3271" w:type="dxa"/>
            <w:gridSpan w:val="2"/>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甲胎蛋白测定(AFP)（定性）</w:t>
            </w:r>
          </w:p>
        </w:tc>
        <w:tc>
          <w:tcPr>
            <w:tcW w:w="640" w:type="dxa"/>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w:t>
            </w:r>
          </w:p>
        </w:tc>
        <w:tc>
          <w:tcPr>
            <w:tcW w:w="640" w:type="dxa"/>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w:t>
            </w:r>
          </w:p>
        </w:tc>
        <w:tc>
          <w:tcPr>
            <w:tcW w:w="640" w:type="dxa"/>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w:t>
            </w:r>
          </w:p>
        </w:tc>
        <w:tc>
          <w:tcPr>
            <w:tcW w:w="5016" w:type="dxa"/>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主要用于原发性肝癌的辅助诊断，疗效及预后监测。</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480" w:hRule="atLeast"/>
        </w:trPr>
        <w:tc>
          <w:tcPr>
            <w:tcW w:w="3271" w:type="dxa"/>
            <w:gridSpan w:val="2"/>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癌胚抗原测定(CEA)（定性）</w:t>
            </w:r>
          </w:p>
        </w:tc>
        <w:tc>
          <w:tcPr>
            <w:tcW w:w="640" w:type="dxa"/>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w:t>
            </w:r>
          </w:p>
        </w:tc>
        <w:tc>
          <w:tcPr>
            <w:tcW w:w="640" w:type="dxa"/>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w:t>
            </w:r>
          </w:p>
        </w:tc>
        <w:tc>
          <w:tcPr>
            <w:tcW w:w="640" w:type="dxa"/>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w:t>
            </w:r>
          </w:p>
        </w:tc>
        <w:tc>
          <w:tcPr>
            <w:tcW w:w="5016" w:type="dxa"/>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乳腺、肺、胃、结肠、直肠及胰胆等肿瘤诊断和疗效监测、复发监测、判断预后。</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619" w:hRule="atLeast"/>
        </w:trPr>
        <w:tc>
          <w:tcPr>
            <w:tcW w:w="3271" w:type="dxa"/>
            <w:gridSpan w:val="2"/>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糖类抗原测定CA125</w:t>
            </w:r>
          </w:p>
        </w:tc>
        <w:tc>
          <w:tcPr>
            <w:tcW w:w="640" w:type="dxa"/>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w:t>
            </w:r>
          </w:p>
        </w:tc>
        <w:tc>
          <w:tcPr>
            <w:tcW w:w="640" w:type="dxa"/>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w:t>
            </w:r>
          </w:p>
        </w:tc>
        <w:tc>
          <w:tcPr>
            <w:tcW w:w="640" w:type="dxa"/>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w:t>
            </w:r>
          </w:p>
        </w:tc>
        <w:tc>
          <w:tcPr>
            <w:tcW w:w="5016" w:type="dxa"/>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卵巢、子宫内膜、肝、肺、结直肠、胃肠癌辅助诊断和治疗监测。</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540" w:hRule="atLeast"/>
        </w:trPr>
        <w:tc>
          <w:tcPr>
            <w:tcW w:w="3271" w:type="dxa"/>
            <w:gridSpan w:val="2"/>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糖类抗原测定CA15-3</w:t>
            </w:r>
          </w:p>
        </w:tc>
        <w:tc>
          <w:tcPr>
            <w:tcW w:w="640" w:type="dxa"/>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w:t>
            </w:r>
          </w:p>
        </w:tc>
        <w:tc>
          <w:tcPr>
            <w:tcW w:w="640" w:type="dxa"/>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w:t>
            </w:r>
          </w:p>
        </w:tc>
        <w:tc>
          <w:tcPr>
            <w:tcW w:w="640" w:type="dxa"/>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w:t>
            </w:r>
          </w:p>
        </w:tc>
        <w:tc>
          <w:tcPr>
            <w:tcW w:w="5016" w:type="dxa"/>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乳腺癌和转移乳腺癌的辅助诊断及其治疗监测，辅助诊断卵巢癌，肺癌等。</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439" w:hRule="atLeast"/>
        </w:trPr>
        <w:tc>
          <w:tcPr>
            <w:tcW w:w="3271" w:type="dxa"/>
            <w:gridSpan w:val="2"/>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总前列腺特异性抗原测定(T-PSA)</w:t>
            </w:r>
          </w:p>
        </w:tc>
        <w:tc>
          <w:tcPr>
            <w:tcW w:w="640" w:type="dxa"/>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w:t>
            </w:r>
          </w:p>
        </w:tc>
        <w:tc>
          <w:tcPr>
            <w:tcW w:w="640" w:type="dxa"/>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　</w:t>
            </w:r>
          </w:p>
        </w:tc>
        <w:tc>
          <w:tcPr>
            <w:tcW w:w="640" w:type="dxa"/>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　</w:t>
            </w:r>
          </w:p>
        </w:tc>
        <w:tc>
          <w:tcPr>
            <w:tcW w:w="5016" w:type="dxa"/>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前列腺癌的诊断及鉴别诊断。</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420" w:hRule="atLeast"/>
        </w:trPr>
        <w:tc>
          <w:tcPr>
            <w:tcW w:w="3271" w:type="dxa"/>
            <w:gridSpan w:val="2"/>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游离前列腺特异性抗原(F-PSA)</w:t>
            </w:r>
          </w:p>
        </w:tc>
        <w:tc>
          <w:tcPr>
            <w:tcW w:w="640" w:type="dxa"/>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w:t>
            </w:r>
          </w:p>
        </w:tc>
        <w:tc>
          <w:tcPr>
            <w:tcW w:w="640" w:type="dxa"/>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　</w:t>
            </w:r>
          </w:p>
        </w:tc>
        <w:tc>
          <w:tcPr>
            <w:tcW w:w="640" w:type="dxa"/>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　</w:t>
            </w:r>
          </w:p>
        </w:tc>
        <w:tc>
          <w:tcPr>
            <w:tcW w:w="5016" w:type="dxa"/>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同时测F-PSA用于鉴别前列腺癌与良性前列腺肥大。</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600" w:hRule="atLeast"/>
        </w:trPr>
        <w:tc>
          <w:tcPr>
            <w:tcW w:w="3271" w:type="dxa"/>
            <w:gridSpan w:val="2"/>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游离PSA/前列腺特异性抗原FPSA/TPSA</w:t>
            </w:r>
          </w:p>
        </w:tc>
        <w:tc>
          <w:tcPr>
            <w:tcW w:w="640" w:type="dxa"/>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w:t>
            </w:r>
          </w:p>
        </w:tc>
        <w:tc>
          <w:tcPr>
            <w:tcW w:w="640" w:type="dxa"/>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　</w:t>
            </w:r>
          </w:p>
        </w:tc>
        <w:tc>
          <w:tcPr>
            <w:tcW w:w="640" w:type="dxa"/>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　</w:t>
            </w:r>
          </w:p>
        </w:tc>
        <w:tc>
          <w:tcPr>
            <w:tcW w:w="5016" w:type="dxa"/>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前列腺癌患者比值明显降低，了解比值可以明显提高诊断前列腺癌的敏感性。</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660" w:hRule="atLeast"/>
        </w:trPr>
        <w:tc>
          <w:tcPr>
            <w:tcW w:w="3271" w:type="dxa"/>
            <w:gridSpan w:val="2"/>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糖类抗原测定CA19-9</w:t>
            </w:r>
          </w:p>
        </w:tc>
        <w:tc>
          <w:tcPr>
            <w:tcW w:w="640" w:type="dxa"/>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w:t>
            </w:r>
          </w:p>
        </w:tc>
        <w:tc>
          <w:tcPr>
            <w:tcW w:w="640" w:type="dxa"/>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w:t>
            </w:r>
          </w:p>
        </w:tc>
        <w:tc>
          <w:tcPr>
            <w:tcW w:w="640" w:type="dxa"/>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w:t>
            </w:r>
          </w:p>
        </w:tc>
        <w:tc>
          <w:tcPr>
            <w:tcW w:w="5016" w:type="dxa"/>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胰腺癌、胆道恶性肿瘤的诊断及肠胃道肿瘤诊断和治疗监测 ；在卵巢癌、乳腺癌也有一定阳性率。</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582" w:hRule="atLeast"/>
        </w:trPr>
        <w:tc>
          <w:tcPr>
            <w:tcW w:w="3271" w:type="dxa"/>
            <w:gridSpan w:val="2"/>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糖类抗原CA50</w:t>
            </w:r>
          </w:p>
        </w:tc>
        <w:tc>
          <w:tcPr>
            <w:tcW w:w="640" w:type="dxa"/>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w:t>
            </w:r>
          </w:p>
        </w:tc>
        <w:tc>
          <w:tcPr>
            <w:tcW w:w="640" w:type="dxa"/>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w:t>
            </w:r>
          </w:p>
        </w:tc>
        <w:tc>
          <w:tcPr>
            <w:tcW w:w="640" w:type="dxa"/>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w:t>
            </w:r>
          </w:p>
        </w:tc>
        <w:tc>
          <w:tcPr>
            <w:tcW w:w="5016" w:type="dxa"/>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广谱，对胰、肝、卵巢、胃、肺等肿瘤诊断和治疗监测 。</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439" w:hRule="atLeast"/>
        </w:trPr>
        <w:tc>
          <w:tcPr>
            <w:tcW w:w="3271" w:type="dxa"/>
            <w:gridSpan w:val="2"/>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神经元特异性烯醇化酶(NSE)</w:t>
            </w:r>
          </w:p>
        </w:tc>
        <w:tc>
          <w:tcPr>
            <w:tcW w:w="640" w:type="dxa"/>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w:t>
            </w:r>
          </w:p>
        </w:tc>
        <w:tc>
          <w:tcPr>
            <w:tcW w:w="640" w:type="dxa"/>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w:t>
            </w:r>
          </w:p>
        </w:tc>
        <w:tc>
          <w:tcPr>
            <w:tcW w:w="640" w:type="dxa"/>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w:t>
            </w:r>
          </w:p>
        </w:tc>
        <w:tc>
          <w:tcPr>
            <w:tcW w:w="5016" w:type="dxa"/>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小细胞肺癌，神经母细胞瘤等诊断。</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462" w:hRule="atLeast"/>
        </w:trPr>
        <w:tc>
          <w:tcPr>
            <w:tcW w:w="3271" w:type="dxa"/>
            <w:gridSpan w:val="2"/>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细胞角蛋白19片段测定(CYFRA21-1)</w:t>
            </w:r>
          </w:p>
        </w:tc>
        <w:tc>
          <w:tcPr>
            <w:tcW w:w="640" w:type="dxa"/>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w:t>
            </w:r>
          </w:p>
        </w:tc>
        <w:tc>
          <w:tcPr>
            <w:tcW w:w="640" w:type="dxa"/>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w:t>
            </w:r>
          </w:p>
        </w:tc>
        <w:tc>
          <w:tcPr>
            <w:tcW w:w="640" w:type="dxa"/>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w:t>
            </w:r>
          </w:p>
        </w:tc>
        <w:tc>
          <w:tcPr>
            <w:tcW w:w="5016" w:type="dxa"/>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小细胞/非小细胞肺癌的诊断和鉴别诊断。</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540" w:hRule="atLeast"/>
        </w:trPr>
        <w:tc>
          <w:tcPr>
            <w:tcW w:w="3271" w:type="dxa"/>
            <w:gridSpan w:val="2"/>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糖类抗原CA242</w:t>
            </w:r>
          </w:p>
        </w:tc>
        <w:tc>
          <w:tcPr>
            <w:tcW w:w="640" w:type="dxa"/>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w:t>
            </w:r>
          </w:p>
        </w:tc>
        <w:tc>
          <w:tcPr>
            <w:tcW w:w="640" w:type="dxa"/>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w:t>
            </w:r>
          </w:p>
        </w:tc>
        <w:tc>
          <w:tcPr>
            <w:tcW w:w="640" w:type="dxa"/>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w:t>
            </w:r>
          </w:p>
        </w:tc>
        <w:tc>
          <w:tcPr>
            <w:tcW w:w="5016" w:type="dxa"/>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胰腺，胆囊肿瘤阳性率84％，其次胃＞直结肠＞肺癌＞乳腺癌。</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540" w:hRule="atLeast"/>
        </w:trPr>
        <w:tc>
          <w:tcPr>
            <w:tcW w:w="3271" w:type="dxa"/>
            <w:gridSpan w:val="2"/>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糖类抗原测定CA72-4</w:t>
            </w:r>
          </w:p>
        </w:tc>
        <w:tc>
          <w:tcPr>
            <w:tcW w:w="640" w:type="dxa"/>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w:t>
            </w:r>
          </w:p>
        </w:tc>
        <w:tc>
          <w:tcPr>
            <w:tcW w:w="640" w:type="dxa"/>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w:t>
            </w:r>
          </w:p>
        </w:tc>
        <w:tc>
          <w:tcPr>
            <w:tcW w:w="640" w:type="dxa"/>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w:t>
            </w:r>
          </w:p>
        </w:tc>
        <w:tc>
          <w:tcPr>
            <w:tcW w:w="5016" w:type="dxa"/>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胃癌、直肠癌肿瘤的诊断治疗，随访监测。</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540" w:hRule="atLeast"/>
        </w:trPr>
        <w:tc>
          <w:tcPr>
            <w:tcW w:w="3271" w:type="dxa"/>
            <w:gridSpan w:val="2"/>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血清人绒毛膜促性腺激素β-HCG</w:t>
            </w:r>
          </w:p>
        </w:tc>
        <w:tc>
          <w:tcPr>
            <w:tcW w:w="640" w:type="dxa"/>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　</w:t>
            </w:r>
          </w:p>
        </w:tc>
        <w:tc>
          <w:tcPr>
            <w:tcW w:w="640" w:type="dxa"/>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w:t>
            </w:r>
          </w:p>
        </w:tc>
        <w:tc>
          <w:tcPr>
            <w:tcW w:w="640" w:type="dxa"/>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w:t>
            </w:r>
          </w:p>
        </w:tc>
        <w:tc>
          <w:tcPr>
            <w:tcW w:w="5016" w:type="dxa"/>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540" w:hRule="atLeast"/>
        </w:trPr>
        <w:tc>
          <w:tcPr>
            <w:tcW w:w="3271" w:type="dxa"/>
            <w:gridSpan w:val="2"/>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EB-VCA-IGA</w:t>
            </w:r>
          </w:p>
        </w:tc>
        <w:tc>
          <w:tcPr>
            <w:tcW w:w="640" w:type="dxa"/>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w:t>
            </w:r>
          </w:p>
        </w:tc>
        <w:tc>
          <w:tcPr>
            <w:tcW w:w="640" w:type="dxa"/>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w:t>
            </w:r>
          </w:p>
        </w:tc>
        <w:tc>
          <w:tcPr>
            <w:tcW w:w="640" w:type="dxa"/>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w:t>
            </w:r>
          </w:p>
        </w:tc>
        <w:tc>
          <w:tcPr>
            <w:tcW w:w="5016" w:type="dxa"/>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270" w:hRule="atLeast"/>
        </w:trPr>
        <w:tc>
          <w:tcPr>
            <w:tcW w:w="3271" w:type="dxa"/>
            <w:gridSpan w:val="2"/>
            <w:shd w:val="clear" w:color="000000" w:fill="C0C0C0"/>
            <w:vAlign w:val="center"/>
          </w:tcPr>
          <w:p>
            <w:pPr>
              <w:widowControl/>
              <w:jc w:val="left"/>
              <w:rPr>
                <w:rFonts w:ascii="宋体" w:hAnsi="宋体" w:eastAsia="宋体" w:cs="宋体"/>
                <w:b/>
                <w:bCs/>
                <w:kern w:val="0"/>
                <w:sz w:val="22"/>
              </w:rPr>
            </w:pPr>
            <w:r>
              <w:rPr>
                <w:rFonts w:hint="eastAsia" w:ascii="宋体" w:hAnsi="宋体" w:eastAsia="宋体" w:cs="宋体"/>
                <w:b/>
                <w:bCs/>
                <w:kern w:val="0"/>
                <w:sz w:val="22"/>
              </w:rPr>
              <w:t>内分泌疾病检测系列</w:t>
            </w:r>
          </w:p>
        </w:tc>
        <w:tc>
          <w:tcPr>
            <w:tcW w:w="640" w:type="dxa"/>
            <w:shd w:val="clear" w:color="000000" w:fill="C0C0C0"/>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640" w:type="dxa"/>
            <w:shd w:val="clear" w:color="000000" w:fill="C0C0C0"/>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640" w:type="dxa"/>
            <w:shd w:val="clear" w:color="000000" w:fill="C0C0C0"/>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5016" w:type="dxa"/>
            <w:shd w:val="clear" w:color="000000" w:fill="C0C0C0"/>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522" w:hRule="atLeast"/>
        </w:trPr>
        <w:tc>
          <w:tcPr>
            <w:tcW w:w="916" w:type="dxa"/>
            <w:vMerge w:val="restart"/>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糖尿病</w:t>
            </w:r>
          </w:p>
        </w:tc>
        <w:tc>
          <w:tcPr>
            <w:tcW w:w="2355" w:type="dxa"/>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空腹葡萄糖测定(GLU)</w:t>
            </w:r>
          </w:p>
        </w:tc>
        <w:tc>
          <w:tcPr>
            <w:tcW w:w="640" w:type="dxa"/>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w:t>
            </w:r>
          </w:p>
        </w:tc>
        <w:tc>
          <w:tcPr>
            <w:tcW w:w="640" w:type="dxa"/>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w:t>
            </w:r>
          </w:p>
        </w:tc>
        <w:tc>
          <w:tcPr>
            <w:tcW w:w="640" w:type="dxa"/>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w:t>
            </w:r>
          </w:p>
        </w:tc>
        <w:tc>
          <w:tcPr>
            <w:tcW w:w="5016" w:type="dxa"/>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糖尿病诊断及治疗检测。</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495" w:hRule="atLeast"/>
        </w:trPr>
        <w:tc>
          <w:tcPr>
            <w:tcW w:w="916" w:type="dxa"/>
            <w:vMerge w:val="continue"/>
            <w:vAlign w:val="center"/>
          </w:tcPr>
          <w:p>
            <w:pPr>
              <w:widowControl/>
              <w:jc w:val="left"/>
              <w:rPr>
                <w:rFonts w:ascii="宋体" w:hAnsi="宋体" w:eastAsia="宋体" w:cs="宋体"/>
                <w:kern w:val="0"/>
                <w:sz w:val="20"/>
                <w:szCs w:val="20"/>
              </w:rPr>
            </w:pPr>
          </w:p>
        </w:tc>
        <w:tc>
          <w:tcPr>
            <w:tcW w:w="2355" w:type="dxa"/>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糖化血红蛋白测定(HbA1C)</w:t>
            </w:r>
          </w:p>
        </w:tc>
        <w:tc>
          <w:tcPr>
            <w:tcW w:w="640" w:type="dxa"/>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w:t>
            </w:r>
          </w:p>
        </w:tc>
        <w:tc>
          <w:tcPr>
            <w:tcW w:w="640" w:type="dxa"/>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w:t>
            </w:r>
          </w:p>
        </w:tc>
        <w:tc>
          <w:tcPr>
            <w:tcW w:w="640" w:type="dxa"/>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w:t>
            </w:r>
          </w:p>
        </w:tc>
        <w:tc>
          <w:tcPr>
            <w:tcW w:w="5016" w:type="dxa"/>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反映病人2-3个月内平均血糖的水平，用于糖尿病疗效观察。</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1260" w:hRule="atLeast"/>
        </w:trPr>
        <w:tc>
          <w:tcPr>
            <w:tcW w:w="916" w:type="dxa"/>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病原体检测</w:t>
            </w:r>
          </w:p>
        </w:tc>
        <w:tc>
          <w:tcPr>
            <w:tcW w:w="2355" w:type="dxa"/>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幽门螺旋杆菌检测(C13)</w:t>
            </w:r>
          </w:p>
        </w:tc>
        <w:tc>
          <w:tcPr>
            <w:tcW w:w="640" w:type="dxa"/>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w:t>
            </w:r>
          </w:p>
        </w:tc>
        <w:tc>
          <w:tcPr>
            <w:tcW w:w="640" w:type="dxa"/>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w:t>
            </w:r>
          </w:p>
        </w:tc>
        <w:tc>
          <w:tcPr>
            <w:tcW w:w="640" w:type="dxa"/>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w:t>
            </w:r>
          </w:p>
        </w:tc>
        <w:tc>
          <w:tcPr>
            <w:tcW w:w="5016" w:type="dxa"/>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幽门螺旋杆菌感染是慢性胃炎，消化溃疡的主要病因，也是非贲门胃癌的一个明确致病因子，防治幽门螺旋杆菌感染对胃癌的预防有一定的意义。有上腹痛，腹胀，嗳气，恶心，呕吐等消化道症状者建议检查。碳13呼气试验是检测幽门螺旋杆菌现症感染的金标准。</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499" w:hRule="atLeast"/>
        </w:trPr>
        <w:tc>
          <w:tcPr>
            <w:tcW w:w="3271" w:type="dxa"/>
            <w:gridSpan w:val="2"/>
            <w:shd w:val="clear" w:color="000000" w:fill="C0C0C0"/>
            <w:vAlign w:val="center"/>
          </w:tcPr>
          <w:p>
            <w:pPr>
              <w:widowControl/>
              <w:jc w:val="left"/>
              <w:rPr>
                <w:rFonts w:ascii="宋体" w:hAnsi="宋体" w:eastAsia="宋体" w:cs="宋体"/>
                <w:b/>
                <w:bCs/>
                <w:kern w:val="0"/>
                <w:sz w:val="22"/>
              </w:rPr>
            </w:pPr>
            <w:r>
              <w:rPr>
                <w:rFonts w:hint="eastAsia" w:ascii="宋体" w:hAnsi="宋体" w:eastAsia="宋体" w:cs="宋体"/>
                <w:b/>
                <w:bCs/>
                <w:kern w:val="0"/>
                <w:sz w:val="22"/>
              </w:rPr>
              <w:t>医学影像检测系列</w:t>
            </w:r>
          </w:p>
        </w:tc>
        <w:tc>
          <w:tcPr>
            <w:tcW w:w="640" w:type="dxa"/>
            <w:shd w:val="clear" w:color="000000" w:fill="C0C0C0"/>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640" w:type="dxa"/>
            <w:shd w:val="clear" w:color="000000" w:fill="C0C0C0"/>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640" w:type="dxa"/>
            <w:shd w:val="clear" w:color="000000" w:fill="C0C0C0"/>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5016" w:type="dxa"/>
            <w:shd w:val="clear" w:color="000000" w:fill="C0C0C0"/>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582" w:hRule="atLeast"/>
        </w:trPr>
        <w:tc>
          <w:tcPr>
            <w:tcW w:w="916" w:type="dxa"/>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　</w:t>
            </w:r>
          </w:p>
        </w:tc>
        <w:tc>
          <w:tcPr>
            <w:tcW w:w="2355" w:type="dxa"/>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低剂量胸部CT平扫</w:t>
            </w:r>
          </w:p>
        </w:tc>
        <w:tc>
          <w:tcPr>
            <w:tcW w:w="640" w:type="dxa"/>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w:t>
            </w:r>
          </w:p>
        </w:tc>
        <w:tc>
          <w:tcPr>
            <w:tcW w:w="640" w:type="dxa"/>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w:t>
            </w:r>
          </w:p>
        </w:tc>
        <w:tc>
          <w:tcPr>
            <w:tcW w:w="640" w:type="dxa"/>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w:t>
            </w:r>
          </w:p>
        </w:tc>
        <w:tc>
          <w:tcPr>
            <w:tcW w:w="5016" w:type="dxa"/>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检查双肺，纵隔有无疾病，以确定病变的部位大小，密度，与周边组织关系。</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960" w:hRule="atLeast"/>
        </w:trPr>
        <w:tc>
          <w:tcPr>
            <w:tcW w:w="916" w:type="dxa"/>
            <w:vMerge w:val="restart"/>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彩色B超</w:t>
            </w:r>
          </w:p>
        </w:tc>
        <w:tc>
          <w:tcPr>
            <w:tcW w:w="2355" w:type="dxa"/>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腹部彩超</w:t>
            </w:r>
          </w:p>
        </w:tc>
        <w:tc>
          <w:tcPr>
            <w:tcW w:w="640" w:type="dxa"/>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w:t>
            </w:r>
          </w:p>
        </w:tc>
        <w:tc>
          <w:tcPr>
            <w:tcW w:w="640" w:type="dxa"/>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w:t>
            </w:r>
          </w:p>
        </w:tc>
        <w:tc>
          <w:tcPr>
            <w:tcW w:w="640" w:type="dxa"/>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w:t>
            </w:r>
          </w:p>
        </w:tc>
        <w:tc>
          <w:tcPr>
            <w:tcW w:w="5016" w:type="dxa"/>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主要检查八大部位，包括：肝脏（含肝內胆管、肝门静脉）、胆囊（含胆总管）、肾脏、、胰腺、脾脏。对人体内脏器官（肝、胆、脾、胰、肾）和各种病变（如肿瘤、结石、积水等）提供高清晰度的动态超声断层图像诊断。</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480" w:hRule="atLeast"/>
        </w:trPr>
        <w:tc>
          <w:tcPr>
            <w:tcW w:w="916" w:type="dxa"/>
            <w:vMerge w:val="continue"/>
            <w:vAlign w:val="center"/>
          </w:tcPr>
          <w:p>
            <w:pPr>
              <w:widowControl/>
              <w:jc w:val="left"/>
              <w:rPr>
                <w:rFonts w:ascii="宋体" w:hAnsi="宋体" w:eastAsia="宋体" w:cs="宋体"/>
                <w:kern w:val="0"/>
                <w:sz w:val="20"/>
                <w:szCs w:val="20"/>
              </w:rPr>
            </w:pPr>
          </w:p>
        </w:tc>
        <w:tc>
          <w:tcPr>
            <w:tcW w:w="2355" w:type="dxa"/>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前列腺彩超</w:t>
            </w:r>
          </w:p>
        </w:tc>
        <w:tc>
          <w:tcPr>
            <w:tcW w:w="640" w:type="dxa"/>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w:t>
            </w:r>
          </w:p>
        </w:tc>
        <w:tc>
          <w:tcPr>
            <w:tcW w:w="640" w:type="dxa"/>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　</w:t>
            </w:r>
          </w:p>
        </w:tc>
        <w:tc>
          <w:tcPr>
            <w:tcW w:w="640" w:type="dxa"/>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　</w:t>
            </w:r>
          </w:p>
        </w:tc>
        <w:tc>
          <w:tcPr>
            <w:tcW w:w="5016" w:type="dxa"/>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超声检查能较好的显示前列腺的形态、大小，对于前列腺增生、肥大、钙化等疾病具有意义。</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720" w:hRule="atLeast"/>
        </w:trPr>
        <w:tc>
          <w:tcPr>
            <w:tcW w:w="916" w:type="dxa"/>
            <w:vMerge w:val="continue"/>
            <w:vAlign w:val="center"/>
          </w:tcPr>
          <w:p>
            <w:pPr>
              <w:widowControl/>
              <w:jc w:val="left"/>
              <w:rPr>
                <w:rFonts w:ascii="宋体" w:hAnsi="宋体" w:eastAsia="宋体" w:cs="宋体"/>
                <w:kern w:val="0"/>
                <w:sz w:val="20"/>
                <w:szCs w:val="20"/>
              </w:rPr>
            </w:pPr>
          </w:p>
        </w:tc>
        <w:tc>
          <w:tcPr>
            <w:tcW w:w="2355" w:type="dxa"/>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乳腺彩超</w:t>
            </w:r>
          </w:p>
        </w:tc>
        <w:tc>
          <w:tcPr>
            <w:tcW w:w="640" w:type="dxa"/>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　</w:t>
            </w:r>
          </w:p>
        </w:tc>
        <w:tc>
          <w:tcPr>
            <w:tcW w:w="640" w:type="dxa"/>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w:t>
            </w:r>
          </w:p>
        </w:tc>
        <w:tc>
          <w:tcPr>
            <w:tcW w:w="640" w:type="dxa"/>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w:t>
            </w:r>
          </w:p>
        </w:tc>
        <w:tc>
          <w:tcPr>
            <w:tcW w:w="5016" w:type="dxa"/>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采用B超探头检查乳腺囊性增生、乳腺囊肿、纤维腺瘤、乳腺癌、乳腺炎症及脓肿等乳腺病变，可进行乳腺癌的普查。</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559" w:hRule="atLeast"/>
        </w:trPr>
        <w:tc>
          <w:tcPr>
            <w:tcW w:w="916" w:type="dxa"/>
            <w:vMerge w:val="continue"/>
            <w:vAlign w:val="center"/>
          </w:tcPr>
          <w:p>
            <w:pPr>
              <w:widowControl/>
              <w:jc w:val="left"/>
              <w:rPr>
                <w:rFonts w:ascii="宋体" w:hAnsi="宋体" w:eastAsia="宋体" w:cs="宋体"/>
                <w:kern w:val="0"/>
                <w:sz w:val="20"/>
                <w:szCs w:val="20"/>
              </w:rPr>
            </w:pPr>
          </w:p>
        </w:tc>
        <w:tc>
          <w:tcPr>
            <w:tcW w:w="2355" w:type="dxa"/>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子宫及附件彩超</w:t>
            </w:r>
          </w:p>
        </w:tc>
        <w:tc>
          <w:tcPr>
            <w:tcW w:w="640" w:type="dxa"/>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　</w:t>
            </w:r>
          </w:p>
        </w:tc>
        <w:tc>
          <w:tcPr>
            <w:tcW w:w="640" w:type="dxa"/>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w:t>
            </w:r>
          </w:p>
        </w:tc>
        <w:tc>
          <w:tcPr>
            <w:tcW w:w="640" w:type="dxa"/>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 xml:space="preserve"> </w:t>
            </w:r>
          </w:p>
        </w:tc>
        <w:tc>
          <w:tcPr>
            <w:tcW w:w="5016" w:type="dxa"/>
            <w:vMerge w:val="restart"/>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可以清晰显示女性内生殖器的切面图象，现已成为妇科疾病的重要诊断技术之一。B超能够探查子宫、输卵管、卵巢等部位的病变。</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600" w:hRule="atLeast"/>
        </w:trPr>
        <w:tc>
          <w:tcPr>
            <w:tcW w:w="916" w:type="dxa"/>
            <w:vMerge w:val="continue"/>
            <w:vAlign w:val="center"/>
          </w:tcPr>
          <w:p>
            <w:pPr>
              <w:widowControl/>
              <w:jc w:val="left"/>
              <w:rPr>
                <w:rFonts w:ascii="宋体" w:hAnsi="宋体" w:eastAsia="宋体" w:cs="宋体"/>
                <w:kern w:val="0"/>
                <w:sz w:val="20"/>
                <w:szCs w:val="20"/>
              </w:rPr>
            </w:pPr>
          </w:p>
        </w:tc>
        <w:tc>
          <w:tcPr>
            <w:tcW w:w="2355" w:type="dxa"/>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阴道彩超</w:t>
            </w:r>
          </w:p>
        </w:tc>
        <w:tc>
          <w:tcPr>
            <w:tcW w:w="640" w:type="dxa"/>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　</w:t>
            </w:r>
          </w:p>
        </w:tc>
        <w:tc>
          <w:tcPr>
            <w:tcW w:w="640" w:type="dxa"/>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　</w:t>
            </w:r>
          </w:p>
        </w:tc>
        <w:tc>
          <w:tcPr>
            <w:tcW w:w="640" w:type="dxa"/>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w:t>
            </w:r>
          </w:p>
        </w:tc>
        <w:tc>
          <w:tcPr>
            <w:tcW w:w="5016" w:type="dxa"/>
            <w:vMerge w:val="continue"/>
            <w:vAlign w:val="center"/>
          </w:tcPr>
          <w:p>
            <w:pPr>
              <w:widowControl/>
              <w:jc w:val="left"/>
              <w:rPr>
                <w:rFonts w:ascii="宋体" w:hAnsi="宋体" w:eastAsia="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720" w:hRule="atLeast"/>
        </w:trPr>
        <w:tc>
          <w:tcPr>
            <w:tcW w:w="916" w:type="dxa"/>
            <w:vMerge w:val="continue"/>
            <w:vAlign w:val="center"/>
          </w:tcPr>
          <w:p>
            <w:pPr>
              <w:widowControl/>
              <w:jc w:val="left"/>
              <w:rPr>
                <w:rFonts w:ascii="宋体" w:hAnsi="宋体" w:eastAsia="宋体" w:cs="宋体"/>
                <w:kern w:val="0"/>
                <w:sz w:val="20"/>
                <w:szCs w:val="20"/>
              </w:rPr>
            </w:pPr>
          </w:p>
        </w:tc>
        <w:tc>
          <w:tcPr>
            <w:tcW w:w="2355" w:type="dxa"/>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颈动脉彩超</w:t>
            </w:r>
          </w:p>
        </w:tc>
        <w:tc>
          <w:tcPr>
            <w:tcW w:w="640" w:type="dxa"/>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w:t>
            </w:r>
          </w:p>
        </w:tc>
        <w:tc>
          <w:tcPr>
            <w:tcW w:w="640" w:type="dxa"/>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w:t>
            </w:r>
          </w:p>
        </w:tc>
        <w:tc>
          <w:tcPr>
            <w:tcW w:w="640" w:type="dxa"/>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w:t>
            </w:r>
          </w:p>
        </w:tc>
        <w:tc>
          <w:tcPr>
            <w:tcW w:w="5016" w:type="dxa"/>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使用彩色多普勒高密度复合探头检测颈动脉内中膜厚度及血流速度，反映头颈部的血流灌注及有无动脉硬化，为临床诊断提供了丰富的血流灌注信息。</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960" w:hRule="atLeast"/>
        </w:trPr>
        <w:tc>
          <w:tcPr>
            <w:tcW w:w="916" w:type="dxa"/>
            <w:vMerge w:val="continue"/>
            <w:vAlign w:val="center"/>
          </w:tcPr>
          <w:p>
            <w:pPr>
              <w:widowControl/>
              <w:jc w:val="left"/>
              <w:rPr>
                <w:rFonts w:ascii="宋体" w:hAnsi="宋体" w:eastAsia="宋体" w:cs="宋体"/>
                <w:kern w:val="0"/>
                <w:sz w:val="20"/>
                <w:szCs w:val="20"/>
              </w:rPr>
            </w:pPr>
          </w:p>
        </w:tc>
        <w:tc>
          <w:tcPr>
            <w:tcW w:w="2355" w:type="dxa"/>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心脏彩超</w:t>
            </w:r>
          </w:p>
        </w:tc>
        <w:tc>
          <w:tcPr>
            <w:tcW w:w="640" w:type="dxa"/>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w:t>
            </w:r>
          </w:p>
        </w:tc>
        <w:tc>
          <w:tcPr>
            <w:tcW w:w="640" w:type="dxa"/>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w:t>
            </w:r>
          </w:p>
        </w:tc>
        <w:tc>
          <w:tcPr>
            <w:tcW w:w="640" w:type="dxa"/>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w:t>
            </w:r>
          </w:p>
        </w:tc>
        <w:tc>
          <w:tcPr>
            <w:tcW w:w="5016" w:type="dxa"/>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使用彩色多普勒高密度复合探头检查心脏内部结构和血流变化，对明确诊断先天性心脏病、心瓣膜病等器质性心脏疾病及心功能有重要的意义，是心血管疾病的重要诊断方法。</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960" w:hRule="atLeast"/>
        </w:trPr>
        <w:tc>
          <w:tcPr>
            <w:tcW w:w="916" w:type="dxa"/>
            <w:vMerge w:val="continue"/>
            <w:vAlign w:val="center"/>
          </w:tcPr>
          <w:p>
            <w:pPr>
              <w:widowControl/>
              <w:jc w:val="left"/>
              <w:rPr>
                <w:rFonts w:ascii="宋体" w:hAnsi="宋体" w:eastAsia="宋体" w:cs="宋体"/>
                <w:kern w:val="0"/>
                <w:sz w:val="20"/>
                <w:szCs w:val="20"/>
              </w:rPr>
            </w:pPr>
          </w:p>
        </w:tc>
        <w:tc>
          <w:tcPr>
            <w:tcW w:w="2355" w:type="dxa"/>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甲状腺彩超</w:t>
            </w:r>
          </w:p>
        </w:tc>
        <w:tc>
          <w:tcPr>
            <w:tcW w:w="640" w:type="dxa"/>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w:t>
            </w:r>
          </w:p>
        </w:tc>
        <w:tc>
          <w:tcPr>
            <w:tcW w:w="640" w:type="dxa"/>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w:t>
            </w:r>
          </w:p>
        </w:tc>
        <w:tc>
          <w:tcPr>
            <w:tcW w:w="640" w:type="dxa"/>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w:t>
            </w:r>
          </w:p>
        </w:tc>
        <w:tc>
          <w:tcPr>
            <w:tcW w:w="5016" w:type="dxa"/>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采用B超探头检查甲状腺，清晰显示甲状腺病变，如：甲状旁腺增生、甲状腺囊肿、腺瘤、腺癌、转移癌，以及各种原因引起的甲状腺肿大，为临床治疗提供依据。简便快捷，准确性较高。</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720" w:hRule="atLeast"/>
        </w:trPr>
        <w:tc>
          <w:tcPr>
            <w:tcW w:w="916" w:type="dxa"/>
            <w:vMerge w:val="continue"/>
            <w:vAlign w:val="center"/>
          </w:tcPr>
          <w:p>
            <w:pPr>
              <w:widowControl/>
              <w:jc w:val="left"/>
              <w:rPr>
                <w:rFonts w:ascii="宋体" w:hAnsi="宋体" w:eastAsia="宋体" w:cs="宋体"/>
                <w:kern w:val="0"/>
                <w:sz w:val="20"/>
                <w:szCs w:val="20"/>
              </w:rPr>
            </w:pPr>
          </w:p>
        </w:tc>
        <w:tc>
          <w:tcPr>
            <w:tcW w:w="2355" w:type="dxa"/>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经颅多谱勒(TCD)</w:t>
            </w:r>
          </w:p>
        </w:tc>
        <w:tc>
          <w:tcPr>
            <w:tcW w:w="640" w:type="dxa"/>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w:t>
            </w:r>
          </w:p>
        </w:tc>
        <w:tc>
          <w:tcPr>
            <w:tcW w:w="640" w:type="dxa"/>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w:t>
            </w:r>
          </w:p>
        </w:tc>
        <w:tc>
          <w:tcPr>
            <w:tcW w:w="640" w:type="dxa"/>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w:t>
            </w:r>
          </w:p>
        </w:tc>
        <w:tc>
          <w:tcPr>
            <w:tcW w:w="5016" w:type="dxa"/>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 xml:space="preserve">通过超声探头检测了解脑动脉供血的情况,协助有否脑动脉硬化、局部脑血管狭窄、脑血管的血流改变等临床诊断。对防治脑梗塞、脑供血不足有一定的参考价值。 </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285" w:hRule="atLeast"/>
        </w:trPr>
        <w:tc>
          <w:tcPr>
            <w:tcW w:w="3271" w:type="dxa"/>
            <w:gridSpan w:val="2"/>
            <w:shd w:val="clear" w:color="000000" w:fill="C0C0C0"/>
            <w:vAlign w:val="center"/>
          </w:tcPr>
          <w:p>
            <w:pPr>
              <w:widowControl/>
              <w:jc w:val="left"/>
              <w:rPr>
                <w:rFonts w:ascii="宋体" w:hAnsi="宋体" w:eastAsia="宋体" w:cs="宋体"/>
                <w:b/>
                <w:bCs/>
                <w:kern w:val="0"/>
                <w:sz w:val="22"/>
              </w:rPr>
            </w:pPr>
            <w:r>
              <w:rPr>
                <w:rFonts w:hint="eastAsia" w:ascii="宋体" w:hAnsi="宋体" w:eastAsia="宋体" w:cs="宋体"/>
                <w:b/>
                <w:bCs/>
                <w:kern w:val="0"/>
                <w:sz w:val="22"/>
              </w:rPr>
              <w:t>生理检查</w:t>
            </w:r>
          </w:p>
        </w:tc>
        <w:tc>
          <w:tcPr>
            <w:tcW w:w="640" w:type="dxa"/>
            <w:shd w:val="clear" w:color="000000" w:fill="C0C0C0"/>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640" w:type="dxa"/>
            <w:shd w:val="clear" w:color="000000" w:fill="C0C0C0"/>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640" w:type="dxa"/>
            <w:shd w:val="clear" w:color="000000" w:fill="C0C0C0"/>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5016" w:type="dxa"/>
            <w:shd w:val="clear" w:color="000000" w:fill="C0C0C0"/>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540" w:hRule="atLeast"/>
        </w:trPr>
        <w:tc>
          <w:tcPr>
            <w:tcW w:w="916" w:type="dxa"/>
            <w:vMerge w:val="restart"/>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　</w:t>
            </w:r>
          </w:p>
        </w:tc>
        <w:tc>
          <w:tcPr>
            <w:tcW w:w="2355" w:type="dxa"/>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动脉硬化检测</w:t>
            </w:r>
          </w:p>
        </w:tc>
        <w:tc>
          <w:tcPr>
            <w:tcW w:w="640" w:type="dxa"/>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w:t>
            </w:r>
          </w:p>
        </w:tc>
        <w:tc>
          <w:tcPr>
            <w:tcW w:w="640" w:type="dxa"/>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w:t>
            </w:r>
          </w:p>
        </w:tc>
        <w:tc>
          <w:tcPr>
            <w:tcW w:w="640" w:type="dxa"/>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w:t>
            </w:r>
          </w:p>
        </w:tc>
        <w:tc>
          <w:tcPr>
            <w:tcW w:w="5016" w:type="dxa"/>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可检测出受检者的血管年龄、下肢动脉狭窄或阻塞程度，血管的硬化程度以及心肌功能的状况。</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582" w:hRule="atLeast"/>
        </w:trPr>
        <w:tc>
          <w:tcPr>
            <w:tcW w:w="916" w:type="dxa"/>
            <w:vMerge w:val="continue"/>
            <w:vAlign w:val="center"/>
          </w:tcPr>
          <w:p>
            <w:pPr>
              <w:widowControl/>
              <w:jc w:val="left"/>
              <w:rPr>
                <w:rFonts w:ascii="宋体" w:hAnsi="宋体" w:eastAsia="宋体" w:cs="宋体"/>
                <w:kern w:val="0"/>
                <w:sz w:val="20"/>
                <w:szCs w:val="20"/>
              </w:rPr>
            </w:pPr>
          </w:p>
        </w:tc>
        <w:tc>
          <w:tcPr>
            <w:tcW w:w="2355" w:type="dxa"/>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骨密度检测</w:t>
            </w:r>
          </w:p>
        </w:tc>
        <w:tc>
          <w:tcPr>
            <w:tcW w:w="640" w:type="dxa"/>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w:t>
            </w:r>
          </w:p>
        </w:tc>
        <w:tc>
          <w:tcPr>
            <w:tcW w:w="640" w:type="dxa"/>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w:t>
            </w:r>
          </w:p>
        </w:tc>
        <w:tc>
          <w:tcPr>
            <w:tcW w:w="640" w:type="dxa"/>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w:t>
            </w:r>
          </w:p>
        </w:tc>
        <w:tc>
          <w:tcPr>
            <w:tcW w:w="5016" w:type="dxa"/>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了解有无骨质疏松及疏松程度，预测骨折的危险性。</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360" w:hRule="atLeast"/>
        </w:trPr>
        <w:tc>
          <w:tcPr>
            <w:tcW w:w="3271" w:type="dxa"/>
            <w:gridSpan w:val="2"/>
            <w:shd w:val="clear" w:color="000000" w:fill="C0C0C0"/>
            <w:vAlign w:val="center"/>
          </w:tcPr>
          <w:p>
            <w:pPr>
              <w:widowControl/>
              <w:jc w:val="center"/>
              <w:rPr>
                <w:rFonts w:ascii="宋体" w:hAnsi="宋体" w:eastAsia="宋体" w:cs="宋体"/>
                <w:b/>
                <w:bCs/>
                <w:kern w:val="0"/>
                <w:sz w:val="24"/>
                <w:szCs w:val="24"/>
              </w:rPr>
            </w:pPr>
            <w:r>
              <w:rPr>
                <w:rFonts w:hint="eastAsia" w:ascii="宋体" w:hAnsi="宋体" w:eastAsia="宋体" w:cs="宋体"/>
                <w:b/>
                <w:bCs/>
                <w:kern w:val="0"/>
                <w:sz w:val="24"/>
                <w:szCs w:val="24"/>
              </w:rPr>
              <w:t>其他检查</w:t>
            </w:r>
          </w:p>
        </w:tc>
        <w:tc>
          <w:tcPr>
            <w:tcW w:w="640" w:type="dxa"/>
            <w:shd w:val="clear" w:color="000000" w:fill="C0C0C0"/>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　</w:t>
            </w:r>
          </w:p>
        </w:tc>
        <w:tc>
          <w:tcPr>
            <w:tcW w:w="640" w:type="dxa"/>
            <w:shd w:val="clear" w:color="000000" w:fill="C0C0C0"/>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　</w:t>
            </w:r>
          </w:p>
        </w:tc>
        <w:tc>
          <w:tcPr>
            <w:tcW w:w="640" w:type="dxa"/>
            <w:shd w:val="clear" w:color="000000" w:fill="C0C0C0"/>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　</w:t>
            </w:r>
          </w:p>
        </w:tc>
        <w:tc>
          <w:tcPr>
            <w:tcW w:w="5016" w:type="dxa"/>
            <w:shd w:val="clear" w:color="000000" w:fill="C0C0C0"/>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439" w:hRule="atLeast"/>
        </w:trPr>
        <w:tc>
          <w:tcPr>
            <w:tcW w:w="916" w:type="dxa"/>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　</w:t>
            </w:r>
          </w:p>
        </w:tc>
        <w:tc>
          <w:tcPr>
            <w:tcW w:w="2355" w:type="dxa"/>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胶囊胃镜</w:t>
            </w:r>
          </w:p>
        </w:tc>
        <w:tc>
          <w:tcPr>
            <w:tcW w:w="640" w:type="dxa"/>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w:t>
            </w:r>
          </w:p>
        </w:tc>
        <w:tc>
          <w:tcPr>
            <w:tcW w:w="640" w:type="dxa"/>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w:t>
            </w:r>
          </w:p>
        </w:tc>
        <w:tc>
          <w:tcPr>
            <w:tcW w:w="640" w:type="dxa"/>
            <w:shd w:val="clear" w:color="auto" w:fill="auto"/>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w:t>
            </w:r>
          </w:p>
        </w:tc>
        <w:tc>
          <w:tcPr>
            <w:tcW w:w="5016" w:type="dxa"/>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了解胃部有无炎症、溃疡、占位等</w:t>
            </w:r>
          </w:p>
        </w:tc>
      </w:tr>
    </w:tbl>
    <w:p>
      <w:pPr>
        <w:rPr>
          <w:rFonts w:hint="eastAsia"/>
          <w:b/>
          <w:sz w:val="24"/>
          <w:szCs w:val="24"/>
          <w:u w:val="single"/>
        </w:rPr>
      </w:pPr>
    </w:p>
    <w:p>
      <w:pPr>
        <w:rPr>
          <w:rFonts w:hint="eastAsia"/>
          <w:b/>
          <w:sz w:val="24"/>
          <w:szCs w:val="24"/>
          <w:u w:val="single"/>
        </w:rPr>
      </w:pPr>
    </w:p>
    <w:p>
      <w:pPr>
        <w:rPr>
          <w:rFonts w:hint="eastAsia"/>
          <w:b/>
          <w:sz w:val="24"/>
          <w:szCs w:val="24"/>
          <w:u w:val="single"/>
        </w:rPr>
      </w:pPr>
      <w:r>
        <w:rPr>
          <w:rFonts w:hint="eastAsia"/>
          <w:b/>
          <w:sz w:val="24"/>
          <w:szCs w:val="24"/>
          <w:u w:val="single"/>
        </w:rPr>
        <w:drawing>
          <wp:anchor distT="0" distB="0" distL="114300" distR="114300" simplePos="0" relativeHeight="251660288" behindDoc="0" locked="0" layoutInCell="1" allowOverlap="1">
            <wp:simplePos x="0" y="0"/>
            <wp:positionH relativeFrom="column">
              <wp:posOffset>210185</wp:posOffset>
            </wp:positionH>
            <wp:positionV relativeFrom="paragraph">
              <wp:posOffset>110490</wp:posOffset>
            </wp:positionV>
            <wp:extent cx="1862455" cy="541655"/>
            <wp:effectExtent l="19050" t="0" r="4445" b="0"/>
            <wp:wrapNone/>
            <wp:docPr id="3" name="图片 4" descr="QQ图片201405281039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4" descr="QQ图片20140528103949"/>
                    <pic:cNvPicPr>
                      <a:picLocks noChangeAspect="1" noChangeArrowheads="1"/>
                    </pic:cNvPicPr>
                  </pic:nvPicPr>
                  <pic:blipFill>
                    <a:blip r:embed="rId4"/>
                    <a:srcRect/>
                    <a:stretch>
                      <a:fillRect/>
                    </a:stretch>
                  </pic:blipFill>
                  <pic:spPr>
                    <a:xfrm>
                      <a:off x="0" y="0"/>
                      <a:ext cx="1862455" cy="541655"/>
                    </a:xfrm>
                    <a:prstGeom prst="rect">
                      <a:avLst/>
                    </a:prstGeom>
                    <a:noFill/>
                    <a:ln w="9525" cmpd="sng">
                      <a:noFill/>
                      <a:miter lim="800000"/>
                      <a:headEnd/>
                      <a:tailEnd/>
                    </a:ln>
                  </pic:spPr>
                </pic:pic>
              </a:graphicData>
            </a:graphic>
          </wp:anchor>
        </w:drawing>
      </w:r>
    </w:p>
    <w:p>
      <w:pPr>
        <w:rPr>
          <w:rFonts w:hint="eastAsia"/>
          <w:b/>
          <w:sz w:val="24"/>
          <w:szCs w:val="24"/>
          <w:u w:val="single"/>
        </w:rPr>
      </w:pPr>
    </w:p>
    <w:p>
      <w:pPr>
        <w:widowControl/>
        <w:spacing w:line="360" w:lineRule="auto"/>
        <w:jc w:val="center"/>
        <w:textAlignment w:val="baseline"/>
        <w:rPr>
          <w:rFonts w:hint="eastAsia" w:ascii="楷体_GB2312" w:hAnsi="楷体_GB2312" w:eastAsia="楷体_GB2312"/>
          <w:b/>
          <w:sz w:val="30"/>
          <w:szCs w:val="30"/>
        </w:rPr>
      </w:pPr>
      <w:r>
        <w:rPr>
          <w:rFonts w:hint="eastAsia" w:ascii="楷体_GB2312" w:hAnsi="楷体_GB2312" w:eastAsia="楷体_GB2312"/>
          <w:b/>
          <w:sz w:val="30"/>
          <w:szCs w:val="30"/>
        </w:rPr>
        <w:t xml:space="preserve">体 检 须 知 </w:t>
      </w:r>
    </w:p>
    <w:p>
      <w:pPr>
        <w:widowControl/>
        <w:spacing w:line="360" w:lineRule="auto"/>
        <w:ind w:left="240" w:hanging="241" w:hangingChars="100"/>
        <w:jc w:val="left"/>
        <w:textAlignment w:val="baseline"/>
        <w:rPr>
          <w:rFonts w:hint="eastAsia" w:ascii="楷体_GB2312" w:hAnsi="楷体_GB2312" w:eastAsia="楷体_GB2312"/>
          <w:b/>
          <w:sz w:val="24"/>
          <w:szCs w:val="24"/>
        </w:rPr>
      </w:pPr>
      <w:r>
        <w:rPr>
          <w:rFonts w:hint="eastAsia" w:ascii="楷体_GB2312" w:hAnsi="楷体_GB2312" w:eastAsia="楷体_GB2312"/>
          <w:b/>
          <w:sz w:val="24"/>
          <w:szCs w:val="24"/>
        </w:rPr>
        <w:t>1.为节省您的宝贵时间，保证体检质量，请您在体检前一至三天致电美年体检预约中心：</w:t>
      </w:r>
    </w:p>
    <w:p>
      <w:pPr>
        <w:widowControl/>
        <w:spacing w:line="360" w:lineRule="auto"/>
        <w:ind w:left="239" w:leftChars="114"/>
        <w:jc w:val="left"/>
        <w:textAlignment w:val="baseline"/>
        <w:rPr>
          <w:rFonts w:hint="eastAsia" w:ascii="楷体_GB2312" w:hAnsi="楷体_GB2312" w:eastAsia="楷体_GB2312"/>
          <w:b/>
          <w:sz w:val="24"/>
          <w:szCs w:val="24"/>
        </w:rPr>
      </w:pPr>
      <w:r>
        <w:rPr>
          <w:rFonts w:hint="eastAsia" w:ascii="楷体_GB2312" w:hAnsi="楷体_GB2312" w:eastAsia="楷体_GB2312"/>
          <w:b/>
          <w:sz w:val="24"/>
          <w:szCs w:val="24"/>
        </w:rPr>
        <w:t>400  6177 999进行预约，如未预约，婉谢体检。</w:t>
      </w:r>
    </w:p>
    <w:p>
      <w:pPr>
        <w:widowControl/>
        <w:spacing w:line="360" w:lineRule="auto"/>
        <w:ind w:left="240" w:hanging="241" w:hangingChars="100"/>
        <w:jc w:val="left"/>
        <w:textAlignment w:val="baseline"/>
        <w:rPr>
          <w:rFonts w:hint="eastAsia" w:ascii="楷体_GB2312" w:hAnsi="楷体_GB2312" w:eastAsia="楷体_GB2312"/>
          <w:b/>
          <w:sz w:val="24"/>
          <w:szCs w:val="24"/>
        </w:rPr>
      </w:pPr>
      <w:r>
        <w:rPr>
          <w:rFonts w:hint="eastAsia" w:ascii="楷体_GB2312" w:hAnsi="楷体_GB2312" w:eastAsia="楷体_GB2312"/>
          <w:b/>
          <w:sz w:val="24"/>
          <w:szCs w:val="24"/>
        </w:rPr>
        <w:t>2.每日体检时间为早8点至早10点，体检当日请携带本单位体检通知单和身份证原件。勿请人代检，一经发现，我们有权中止您的体检项目。</w:t>
      </w:r>
    </w:p>
    <w:p>
      <w:pPr>
        <w:widowControl/>
        <w:spacing w:line="360" w:lineRule="auto"/>
        <w:ind w:left="240" w:hanging="241" w:hangingChars="100"/>
        <w:jc w:val="left"/>
        <w:textAlignment w:val="baseline"/>
        <w:rPr>
          <w:rFonts w:hint="eastAsia" w:ascii="楷体_GB2312" w:hAnsi="楷体_GB2312" w:eastAsia="楷体_GB2312"/>
          <w:b/>
          <w:sz w:val="24"/>
          <w:szCs w:val="24"/>
        </w:rPr>
      </w:pPr>
      <w:r>
        <w:rPr>
          <w:rFonts w:hint="eastAsia" w:ascii="楷体_GB2312" w:hAnsi="楷体_GB2312" w:eastAsia="楷体_GB2312"/>
          <w:b/>
          <w:sz w:val="24"/>
          <w:szCs w:val="24"/>
        </w:rPr>
        <w:t>3.体检前一天请勿饮酒、吃油腻过大食物，并注意休息。体检当日请您禁食、空腹，否则将影响您的体检结果的准确性。请勿携带贵重物品，如不便保管可到前台领取储物柜钥匙进行保存。参加X线检查时，颈部勿带挂件，勿穿带有金属饰物或配件的衣服。</w:t>
      </w:r>
    </w:p>
    <w:p>
      <w:pPr>
        <w:widowControl/>
        <w:spacing w:line="360" w:lineRule="auto"/>
        <w:jc w:val="left"/>
        <w:textAlignment w:val="baseline"/>
        <w:rPr>
          <w:rFonts w:hint="eastAsia" w:ascii="楷体_GB2312" w:hAnsi="楷体_GB2312" w:eastAsia="楷体_GB2312"/>
          <w:b/>
          <w:sz w:val="24"/>
          <w:szCs w:val="24"/>
        </w:rPr>
      </w:pPr>
      <w:r>
        <w:rPr>
          <w:rFonts w:hint="eastAsia" w:ascii="楷体_GB2312" w:hAnsi="楷体_GB2312" w:eastAsia="楷体_GB2312"/>
          <w:b/>
          <w:sz w:val="24"/>
          <w:szCs w:val="24"/>
        </w:rPr>
        <w:t>4.登记后，请根据体检导检单进行体检，导医护士可随时为您提供帮助。</w:t>
      </w:r>
    </w:p>
    <w:p>
      <w:pPr>
        <w:widowControl/>
        <w:spacing w:line="360" w:lineRule="auto"/>
        <w:jc w:val="left"/>
        <w:textAlignment w:val="baseline"/>
        <w:rPr>
          <w:rFonts w:hint="eastAsia" w:ascii="楷体_GB2312" w:hAnsi="楷体_GB2312" w:eastAsia="楷体_GB2312"/>
          <w:b/>
          <w:sz w:val="24"/>
          <w:szCs w:val="24"/>
        </w:rPr>
      </w:pPr>
      <w:r>
        <w:rPr>
          <w:rFonts w:hint="eastAsia" w:ascii="楷体_GB2312" w:hAnsi="楷体_GB2312" w:eastAsia="楷体_GB2312"/>
          <w:b/>
          <w:sz w:val="24"/>
          <w:szCs w:val="24"/>
        </w:rPr>
        <w:t>5.如您需要加检体检项目，可以现场向总检医生咨询。</w:t>
      </w:r>
    </w:p>
    <w:p>
      <w:pPr>
        <w:widowControl/>
        <w:spacing w:line="360" w:lineRule="auto"/>
        <w:jc w:val="left"/>
        <w:textAlignment w:val="baseline"/>
        <w:rPr>
          <w:rFonts w:hint="eastAsia" w:ascii="楷体_GB2312" w:hAnsi="楷体_GB2312" w:eastAsia="楷体_GB2312"/>
          <w:b/>
          <w:sz w:val="24"/>
          <w:szCs w:val="24"/>
        </w:rPr>
      </w:pPr>
      <w:r>
        <w:rPr>
          <w:rFonts w:hint="eastAsia" w:ascii="楷体_GB2312" w:hAnsi="楷体_GB2312" w:eastAsia="楷体_GB2312"/>
          <w:b/>
          <w:sz w:val="24"/>
          <w:szCs w:val="24"/>
        </w:rPr>
        <w:t>6.在带★号的项目没有做完前请不要排尿。</w:t>
      </w:r>
    </w:p>
    <w:p>
      <w:pPr>
        <w:widowControl/>
        <w:spacing w:line="360" w:lineRule="auto"/>
        <w:jc w:val="left"/>
        <w:textAlignment w:val="baseline"/>
        <w:rPr>
          <w:rFonts w:hint="eastAsia" w:ascii="楷体_GB2312" w:hAnsi="楷体_GB2312" w:eastAsia="楷体_GB2312"/>
          <w:b/>
          <w:sz w:val="24"/>
          <w:szCs w:val="24"/>
        </w:rPr>
      </w:pPr>
      <w:r>
        <w:rPr>
          <w:rFonts w:hint="eastAsia" w:ascii="楷体_GB2312" w:hAnsi="楷体_GB2312" w:eastAsia="楷体_GB2312"/>
          <w:b/>
          <w:sz w:val="24"/>
          <w:szCs w:val="24"/>
        </w:rPr>
        <w:t>7.如有项目延期，请在15日内前来补检，补检部分将单独出具报告单。</w:t>
      </w:r>
    </w:p>
    <w:p>
      <w:pPr>
        <w:widowControl/>
        <w:spacing w:line="360" w:lineRule="auto"/>
        <w:ind w:left="240" w:hanging="241" w:hangingChars="100"/>
        <w:jc w:val="left"/>
        <w:textAlignment w:val="baseline"/>
        <w:rPr>
          <w:rFonts w:hint="eastAsia" w:ascii="楷体_GB2312" w:hAnsi="楷体_GB2312" w:eastAsia="楷体_GB2312"/>
          <w:b/>
          <w:sz w:val="24"/>
          <w:szCs w:val="24"/>
        </w:rPr>
      </w:pPr>
      <w:r>
        <w:rPr>
          <w:rFonts w:hint="eastAsia" w:ascii="楷体_GB2312" w:hAnsi="楷体_GB2312" w:eastAsia="楷体_GB2312"/>
          <w:b/>
          <w:sz w:val="24"/>
          <w:szCs w:val="24"/>
        </w:rPr>
        <w:t>8.体检结束后，请将体检卡交至前台并请您在《体检导检单》上留下您的手机号码，以便在体检结果出来后及时通知您登录www.meinian.cn查阅。</w:t>
      </w:r>
    </w:p>
    <w:p>
      <w:pPr>
        <w:widowControl/>
        <w:spacing w:line="360" w:lineRule="auto"/>
        <w:jc w:val="left"/>
        <w:textAlignment w:val="baseline"/>
        <w:rPr>
          <w:rFonts w:hint="eastAsia" w:ascii="楷体_GB2312" w:hAnsi="楷体_GB2312" w:eastAsia="楷体_GB2312"/>
          <w:b/>
          <w:sz w:val="24"/>
          <w:szCs w:val="24"/>
        </w:rPr>
      </w:pPr>
      <w:r>
        <w:rPr>
          <w:rFonts w:hint="eastAsia"/>
          <w:sz w:val="24"/>
          <w:szCs w:val="24"/>
        </w:rPr>
        <w:t>9.最后提醒您，不要忘了取走您的物品。女性体检特别提示：</w:t>
      </w:r>
    </w:p>
    <w:p>
      <w:pPr>
        <w:widowControl/>
        <w:spacing w:line="360" w:lineRule="auto"/>
        <w:ind w:left="219" w:hanging="219" w:hangingChars="91"/>
        <w:jc w:val="left"/>
        <w:textAlignment w:val="baseline"/>
        <w:rPr>
          <w:rFonts w:hint="eastAsia" w:ascii="楷体_GB2312" w:hAnsi="楷体_GB2312" w:eastAsia="楷体_GB2312"/>
          <w:b/>
          <w:sz w:val="24"/>
          <w:szCs w:val="24"/>
        </w:rPr>
      </w:pPr>
      <w:r>
        <w:rPr>
          <w:rFonts w:hint="eastAsia" w:ascii="楷体_GB2312" w:hAnsi="楷体_GB2312" w:eastAsia="楷体_GB2312"/>
          <w:b/>
          <w:sz w:val="24"/>
          <w:szCs w:val="24"/>
        </w:rPr>
        <w:t>1.女性客人在体检当日请勿穿着连衣类衣物及长筒靴，避免在体检过程中给您造成不必要的麻烦。同时，特别提醒您在月经期间请勿体检，否则将影响体检结果的准确性。</w:t>
      </w:r>
    </w:p>
    <w:p>
      <w:pPr>
        <w:widowControl/>
        <w:spacing w:line="360" w:lineRule="auto"/>
        <w:jc w:val="left"/>
        <w:textAlignment w:val="baseline"/>
        <w:rPr>
          <w:rFonts w:hint="eastAsia" w:ascii="楷体_GB2312" w:hAnsi="楷体_GB2312" w:eastAsia="楷体_GB2312"/>
          <w:b/>
          <w:sz w:val="24"/>
          <w:szCs w:val="24"/>
        </w:rPr>
      </w:pPr>
      <w:r>
        <w:rPr>
          <w:rFonts w:hint="eastAsia" w:ascii="楷体_GB2312" w:hAnsi="楷体_GB2312" w:eastAsia="楷体_GB2312"/>
          <w:b/>
          <w:sz w:val="24"/>
          <w:szCs w:val="24"/>
        </w:rPr>
        <w:t>2.已怀孕或准备怀孕的女性请预先告知医护人员，我们将不安排您进行放射科检查。</w:t>
      </w:r>
    </w:p>
    <w:p>
      <w:pPr>
        <w:spacing w:line="360" w:lineRule="auto"/>
        <w:rPr>
          <w:rFonts w:ascii="宋体" w:cs="宋体"/>
          <w:b/>
          <w:bCs/>
          <w:sz w:val="24"/>
          <w:szCs w:val="24"/>
        </w:rPr>
      </w:pPr>
      <w:r>
        <w:rPr>
          <w:rFonts w:hint="eastAsia" w:ascii="楷体_GB2312" w:hAnsi="楷体_GB2312" w:eastAsia="楷体_GB2312"/>
          <w:b/>
          <w:sz w:val="24"/>
          <w:szCs w:val="24"/>
        </w:rPr>
        <w:t>3.女性客人在进行盆腔彩超前1小时，请饮水6-8杯（400-500毫升）。其目的在于使膀胱中度充盈，以保证检查结果的准确。</w:t>
      </w:r>
      <w:r>
        <w:rPr>
          <w:rFonts w:hint="eastAsia" w:ascii="宋体" w:hAnsi="宋体" w:cs="宋体"/>
          <w:b/>
          <w:bCs/>
          <w:sz w:val="24"/>
          <w:szCs w:val="24"/>
        </w:rPr>
        <w:t>已婚女性（有性生活史）</w:t>
      </w:r>
      <w:r>
        <w:rPr>
          <w:rFonts w:hint="eastAsia" w:ascii="宋体" w:hAnsi="宋体" w:cs="宋体"/>
          <w:b/>
          <w:color w:val="000000"/>
          <w:sz w:val="24"/>
          <w:szCs w:val="24"/>
        </w:rPr>
        <w:t>做阴道超声检查时不需憋尿。</w:t>
      </w:r>
    </w:p>
    <w:p>
      <w:pPr>
        <w:rPr>
          <w:rFonts w:hint="eastAsia" w:ascii="楷体_GB2312" w:hAnsi="楷体_GB2312" w:eastAsia="楷体_GB2312"/>
          <w:b/>
          <w:sz w:val="24"/>
          <w:szCs w:val="24"/>
        </w:rPr>
      </w:pPr>
      <w:r>
        <w:rPr>
          <w:rFonts w:hint="eastAsia" w:ascii="楷体_GB2312" w:hAnsi="楷体_GB2312" w:eastAsia="楷体_GB2312"/>
          <w:b/>
          <w:sz w:val="24"/>
          <w:szCs w:val="24"/>
        </w:rPr>
        <w:t>感谢您选择美年大健康体检中心，谢谢您的合作，预祝您体检愉快！</w:t>
      </w:r>
    </w:p>
    <w:p>
      <w:pPr>
        <w:rPr>
          <w:rFonts w:hint="eastAsia" w:ascii="楷体_GB2312" w:hAnsi="楷体_GB2312" w:eastAsia="楷体_GB2312"/>
          <w:b/>
          <w:sz w:val="24"/>
          <w:szCs w:val="24"/>
        </w:rPr>
      </w:pPr>
      <w:r>
        <w:rPr>
          <w:rFonts w:hint="eastAsia" w:ascii="楷体_GB2312" w:hAnsi="楷体_GB2312" w:eastAsia="楷体_GB2312"/>
          <w:b/>
          <w:sz w:val="24"/>
          <w:szCs w:val="24"/>
        </w:rPr>
        <w:t>各体检分院地址：</w:t>
      </w:r>
    </w:p>
    <w:p>
      <w:pPr>
        <w:spacing w:line="360" w:lineRule="auto"/>
        <w:ind w:firstLine="1680" w:firstLineChars="700"/>
        <w:rPr>
          <w:rFonts w:ascii="宋体" w:cs="宋体"/>
          <w:color w:val="000000"/>
          <w:sz w:val="24"/>
          <w:szCs w:val="24"/>
        </w:rPr>
      </w:pPr>
      <w:r>
        <w:rPr>
          <w:rFonts w:hint="eastAsia" w:ascii="宋体" w:hAnsi="宋体" w:cs="宋体"/>
          <w:color w:val="000000"/>
          <w:sz w:val="24"/>
          <w:szCs w:val="24"/>
        </w:rPr>
        <w:t>大望路分院：北京市朝阳区西大望路</w:t>
      </w:r>
      <w:r>
        <w:rPr>
          <w:rFonts w:ascii="宋体" w:hAnsi="宋体" w:cs="宋体"/>
          <w:color w:val="000000"/>
          <w:sz w:val="24"/>
          <w:szCs w:val="24"/>
        </w:rPr>
        <w:t>15</w:t>
      </w:r>
      <w:r>
        <w:rPr>
          <w:rFonts w:hint="eastAsia" w:ascii="宋体" w:hAnsi="宋体" w:cs="宋体"/>
          <w:color w:val="000000"/>
          <w:sz w:val="24"/>
          <w:szCs w:val="24"/>
        </w:rPr>
        <w:t>号外企大厦</w:t>
      </w:r>
      <w:r>
        <w:rPr>
          <w:rFonts w:ascii="宋体" w:hAnsi="宋体" w:cs="宋体"/>
          <w:color w:val="000000"/>
          <w:sz w:val="24"/>
          <w:szCs w:val="24"/>
        </w:rPr>
        <w:t>B</w:t>
      </w:r>
      <w:r>
        <w:rPr>
          <w:rFonts w:hint="eastAsia" w:ascii="宋体" w:hAnsi="宋体" w:cs="宋体"/>
          <w:color w:val="000000"/>
          <w:sz w:val="24"/>
          <w:szCs w:val="24"/>
        </w:rPr>
        <w:t>座</w:t>
      </w:r>
      <w:r>
        <w:rPr>
          <w:rFonts w:ascii="宋体" w:hAnsi="宋体" w:cs="宋体"/>
          <w:color w:val="000000"/>
          <w:sz w:val="24"/>
          <w:szCs w:val="24"/>
        </w:rPr>
        <w:t>5</w:t>
      </w:r>
      <w:r>
        <w:rPr>
          <w:rFonts w:hint="eastAsia" w:ascii="宋体" w:hAnsi="宋体" w:cs="宋体"/>
          <w:color w:val="000000"/>
          <w:sz w:val="24"/>
          <w:szCs w:val="24"/>
        </w:rPr>
        <w:t>层</w:t>
      </w:r>
    </w:p>
    <w:p>
      <w:pPr>
        <w:spacing w:line="360" w:lineRule="auto"/>
        <w:ind w:firstLine="1680" w:firstLineChars="700"/>
        <w:rPr>
          <w:rFonts w:ascii="宋体" w:cs="宋体"/>
          <w:sz w:val="24"/>
          <w:szCs w:val="24"/>
        </w:rPr>
      </w:pPr>
      <w:r>
        <w:rPr>
          <w:rFonts w:hint="eastAsia" w:ascii="宋体" w:hAnsi="宋体" w:cs="宋体"/>
          <w:color w:val="000000"/>
          <w:sz w:val="24"/>
          <w:szCs w:val="24"/>
        </w:rPr>
        <w:t>宣武门分院：</w:t>
      </w:r>
      <w:r>
        <w:rPr>
          <w:rFonts w:hint="eastAsia" w:ascii="宋体" w:hAnsi="宋体" w:cs="宋体"/>
          <w:sz w:val="24"/>
          <w:szCs w:val="24"/>
        </w:rPr>
        <w:t>北京市西城区宣武门外大街</w:t>
      </w:r>
      <w:r>
        <w:rPr>
          <w:rFonts w:ascii="宋体" w:hAnsi="宋体" w:cs="宋体"/>
          <w:sz w:val="24"/>
          <w:szCs w:val="24"/>
        </w:rPr>
        <w:t>20</w:t>
      </w:r>
      <w:r>
        <w:rPr>
          <w:rFonts w:hint="eastAsia" w:ascii="宋体" w:hAnsi="宋体" w:cs="宋体"/>
          <w:sz w:val="24"/>
          <w:szCs w:val="24"/>
        </w:rPr>
        <w:t>号海格国际酒店</w:t>
      </w:r>
      <w:r>
        <w:rPr>
          <w:rFonts w:ascii="宋体" w:hAnsi="宋体" w:cs="宋体"/>
          <w:sz w:val="24"/>
          <w:szCs w:val="24"/>
        </w:rPr>
        <w:t>3</w:t>
      </w:r>
      <w:r>
        <w:rPr>
          <w:rFonts w:hint="eastAsia" w:ascii="宋体" w:hAnsi="宋体" w:cs="宋体"/>
          <w:sz w:val="24"/>
          <w:szCs w:val="24"/>
        </w:rPr>
        <w:t>层</w:t>
      </w:r>
    </w:p>
    <w:p>
      <w:pPr>
        <w:spacing w:line="360" w:lineRule="auto"/>
        <w:ind w:firstLine="1680" w:firstLineChars="700"/>
        <w:rPr>
          <w:rFonts w:ascii="宋体" w:cs="宋体"/>
          <w:color w:val="000000"/>
          <w:sz w:val="24"/>
          <w:szCs w:val="24"/>
        </w:rPr>
      </w:pPr>
      <w:r>
        <w:rPr>
          <w:rFonts w:hint="eastAsia" w:ascii="宋体" w:hAnsi="宋体" w:cs="宋体"/>
          <w:color w:val="000000"/>
          <w:sz w:val="24"/>
          <w:szCs w:val="24"/>
        </w:rPr>
        <w:t>美年中医院：北京市东城区朝内大街</w:t>
      </w:r>
      <w:r>
        <w:rPr>
          <w:rFonts w:ascii="宋体" w:hAnsi="宋体" w:cs="宋体"/>
          <w:color w:val="000000"/>
          <w:sz w:val="24"/>
          <w:szCs w:val="24"/>
        </w:rPr>
        <w:t>296</w:t>
      </w:r>
      <w:r>
        <w:rPr>
          <w:rFonts w:hint="eastAsia" w:ascii="宋体" w:hAnsi="宋体" w:cs="宋体"/>
          <w:color w:val="000000"/>
          <w:sz w:val="24"/>
          <w:szCs w:val="24"/>
        </w:rPr>
        <w:t>号（瀚海科技大厦</w:t>
      </w:r>
      <w:r>
        <w:rPr>
          <w:rFonts w:ascii="宋体" w:hAnsi="宋体" w:cs="宋体"/>
          <w:color w:val="000000"/>
          <w:sz w:val="24"/>
          <w:szCs w:val="24"/>
        </w:rPr>
        <w:t>B</w:t>
      </w:r>
      <w:r>
        <w:rPr>
          <w:rFonts w:hint="eastAsia" w:ascii="宋体" w:hAnsi="宋体" w:cs="宋体"/>
          <w:color w:val="000000"/>
          <w:sz w:val="24"/>
          <w:szCs w:val="24"/>
        </w:rPr>
        <w:t>座）</w:t>
      </w:r>
    </w:p>
    <w:p>
      <w:pPr>
        <w:spacing w:line="360" w:lineRule="auto"/>
        <w:ind w:firstLine="1680" w:firstLineChars="700"/>
        <w:rPr>
          <w:rFonts w:ascii="宋体" w:cs="宋体"/>
          <w:color w:val="000000"/>
          <w:sz w:val="24"/>
          <w:szCs w:val="24"/>
        </w:rPr>
      </w:pPr>
      <w:r>
        <w:rPr>
          <w:rFonts w:hint="eastAsia" w:ascii="宋体" w:hAnsi="宋体" w:cs="宋体"/>
          <w:color w:val="000000"/>
          <w:sz w:val="24"/>
          <w:szCs w:val="24"/>
        </w:rPr>
        <w:t>西直门分院：</w:t>
      </w:r>
      <w:r>
        <w:rPr>
          <w:rFonts w:hint="eastAsia" w:ascii="宋体" w:hAnsi="宋体" w:cs="宋体"/>
          <w:sz w:val="24"/>
          <w:szCs w:val="24"/>
        </w:rPr>
        <w:t>北京市海淀区西直门北大街</w:t>
      </w:r>
      <w:r>
        <w:rPr>
          <w:rFonts w:ascii="宋体" w:hAnsi="宋体" w:cs="宋体"/>
          <w:sz w:val="24"/>
          <w:szCs w:val="24"/>
        </w:rPr>
        <w:t>45-6</w:t>
      </w:r>
      <w:r>
        <w:rPr>
          <w:rFonts w:hint="eastAsia" w:ascii="宋体" w:hAnsi="宋体" w:cs="宋体"/>
          <w:sz w:val="24"/>
          <w:szCs w:val="24"/>
        </w:rPr>
        <w:t>号</w:t>
      </w:r>
    </w:p>
    <w:p>
      <w:pPr>
        <w:spacing w:line="360" w:lineRule="auto"/>
        <w:ind w:firstLine="1680" w:firstLineChars="700"/>
        <w:rPr>
          <w:rFonts w:ascii="宋体" w:cs="宋体"/>
          <w:sz w:val="24"/>
          <w:szCs w:val="24"/>
        </w:rPr>
      </w:pPr>
      <w:r>
        <w:rPr>
          <w:rFonts w:hint="eastAsia" w:ascii="宋体" w:hAnsi="宋体" w:cs="宋体"/>
          <w:color w:val="000000"/>
          <w:sz w:val="24"/>
          <w:szCs w:val="24"/>
        </w:rPr>
        <w:t>望京分院：</w:t>
      </w:r>
      <w:r>
        <w:rPr>
          <w:rFonts w:hint="eastAsia" w:ascii="宋体" w:hAnsi="宋体" w:cs="宋体"/>
          <w:sz w:val="24"/>
          <w:szCs w:val="24"/>
        </w:rPr>
        <w:t>北京市朝阳区酒仙桥路</w:t>
      </w:r>
      <w:r>
        <w:rPr>
          <w:rFonts w:ascii="宋体" w:hAnsi="宋体" w:cs="宋体"/>
          <w:sz w:val="24"/>
          <w:szCs w:val="24"/>
        </w:rPr>
        <w:t>12</w:t>
      </w:r>
      <w:r>
        <w:rPr>
          <w:rFonts w:hint="eastAsia" w:ascii="宋体" w:hAnsi="宋体" w:cs="宋体"/>
          <w:sz w:val="24"/>
          <w:szCs w:val="24"/>
        </w:rPr>
        <w:t>号电子科技大厦八层</w:t>
      </w:r>
    </w:p>
    <w:p>
      <w:pPr>
        <w:spacing w:line="360" w:lineRule="auto"/>
        <w:ind w:firstLine="1680" w:firstLineChars="700"/>
        <w:rPr>
          <w:rFonts w:hint="eastAsia" w:ascii="宋体" w:hAnsi="宋体" w:cs="宋体"/>
          <w:sz w:val="24"/>
          <w:szCs w:val="24"/>
        </w:rPr>
      </w:pPr>
      <w:r>
        <w:rPr>
          <w:rFonts w:hint="eastAsia" w:ascii="宋体" w:hAnsi="宋体" w:cs="宋体"/>
          <w:sz w:val="24"/>
          <w:szCs w:val="24"/>
        </w:rPr>
        <w:t>太阳宫体检中心：北京市朝阳区夏家园半岛国际公寓</w:t>
      </w:r>
      <w:r>
        <w:rPr>
          <w:rFonts w:ascii="宋体" w:hAnsi="宋体" w:cs="宋体"/>
          <w:sz w:val="24"/>
          <w:szCs w:val="24"/>
        </w:rPr>
        <w:t>12</w:t>
      </w:r>
      <w:r>
        <w:rPr>
          <w:rFonts w:hint="eastAsia" w:ascii="宋体" w:hAnsi="宋体" w:cs="宋体"/>
          <w:sz w:val="24"/>
          <w:szCs w:val="24"/>
        </w:rPr>
        <w:t>号楼底商</w:t>
      </w:r>
    </w:p>
    <w:p>
      <w:pPr>
        <w:spacing w:line="360" w:lineRule="auto"/>
        <w:ind w:firstLine="1680" w:firstLineChars="700"/>
        <w:rPr>
          <w:rFonts w:hint="eastAsia" w:ascii="宋体" w:hAnsi="宋体" w:cs="宋体"/>
          <w:sz w:val="24"/>
          <w:szCs w:val="24"/>
        </w:rPr>
      </w:pPr>
      <w:r>
        <w:rPr>
          <w:rFonts w:hint="eastAsia" w:ascii="宋体" w:hAnsi="宋体" w:cs="宋体"/>
          <w:sz w:val="24"/>
          <w:szCs w:val="24"/>
        </w:rPr>
        <w:t>牡丹园分院：北京市海淀区花园路35号院9号楼健康之谷B1层</w:t>
      </w:r>
    </w:p>
    <w:p>
      <w:pPr>
        <w:spacing w:line="360" w:lineRule="auto"/>
        <w:ind w:firstLine="2249" w:firstLineChars="700"/>
        <w:rPr>
          <w:rFonts w:hint="eastAsia" w:ascii="宋体" w:hAnsi="宋体" w:cs="宋体"/>
          <w:b/>
          <w:sz w:val="32"/>
          <w:szCs w:val="32"/>
        </w:rPr>
      </w:pPr>
      <w:r>
        <w:rPr>
          <w:rFonts w:hint="eastAsia" w:ascii="宋体" w:hAnsi="宋体" w:cs="宋体"/>
          <w:b/>
          <w:sz w:val="32"/>
          <w:szCs w:val="32"/>
        </w:rPr>
        <w:t>如有任何疑问，请联系我：</w:t>
      </w:r>
    </w:p>
    <w:p>
      <w:pPr>
        <w:rPr>
          <w:rFonts w:hint="eastAsia" w:ascii="宋体" w:hAnsi="宋体"/>
          <w:b/>
          <w:sz w:val="28"/>
          <w:szCs w:val="28"/>
          <w:shd w:val="pct10" w:color="auto" w:fill="FFFFFF"/>
        </w:rPr>
      </w:pPr>
      <w:r>
        <w:rPr>
          <w:rFonts w:hint="eastAsia" w:ascii="宋体" w:hAnsi="宋体"/>
          <w:b/>
          <w:sz w:val="28"/>
          <w:szCs w:val="28"/>
          <w:shd w:val="pct10" w:color="auto" w:fill="FFFFFF"/>
        </w:rPr>
        <w:t>北京美年大健康体检中心集团运营中心客户经理：尹丽婷13641395112</w:t>
      </w:r>
    </w:p>
    <w:p>
      <w:pPr>
        <w:rPr>
          <w:b/>
          <w:sz w:val="24"/>
          <w:szCs w:val="24"/>
          <w:u w:val="single"/>
        </w:rPr>
      </w:pPr>
    </w:p>
    <w:sectPr>
      <w:pgSz w:w="11906" w:h="16838"/>
      <w:pgMar w:top="720" w:right="720" w:bottom="720" w:left="72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A00002EF" w:usb1="4000004B" w:usb2="00000000" w:usb3="00000000" w:csb0="2000009F" w:csb1="00000000"/>
  </w:font>
  <w:font w:name="Calibri">
    <w:panose1 w:val="020F0502020204030204"/>
    <w:charset w:val="00"/>
    <w:family w:val="swiss"/>
    <w:pitch w:val="default"/>
    <w:sig w:usb0="A00002EF" w:usb1="4000207B" w:usb2="00000000" w:usb3="00000000" w:csb0="2000009F"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F2961"/>
    <w:rsid w:val="002B412A"/>
    <w:rsid w:val="00361182"/>
    <w:rsid w:val="00807013"/>
    <w:rsid w:val="00B21A23"/>
    <w:rsid w:val="00CF2961"/>
    <w:rsid w:val="00DB3042"/>
    <w:rsid w:val="00EF6479"/>
    <w:rsid w:val="062E03E3"/>
    <w:rsid w:val="26095EC3"/>
    <w:rsid w:val="26A25915"/>
    <w:rsid w:val="4C1F391E"/>
    <w:rsid w:val="685365E8"/>
    <w:rsid w:val="7A5626DC"/>
    <w:rsid w:val="7B9A369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unhideWhenUsed/>
    <w:uiPriority w:val="1"/>
  </w:style>
  <w:style w:type="table" w:default="1" w:styleId="5">
    <w:name w:val="Normal Table"/>
    <w:unhideWhenUsed/>
    <w:qFormat/>
    <w:uiPriority w:val="99"/>
    <w:tblPr>
      <w:tblLayout w:type="fixed"/>
      <w:tblCellMar>
        <w:top w:w="0" w:type="dxa"/>
        <w:left w:w="108" w:type="dxa"/>
        <w:bottom w:w="0" w:type="dxa"/>
        <w:right w:w="108" w:type="dxa"/>
      </w:tblCellMar>
    </w:tblPr>
  </w:style>
  <w:style w:type="paragraph" w:styleId="2">
    <w:name w:val="footer"/>
    <w:basedOn w:val="1"/>
    <w:link w:val="7"/>
    <w:unhideWhenUsed/>
    <w:uiPriority w:val="99"/>
    <w:pPr>
      <w:tabs>
        <w:tab w:val="center" w:pos="4153"/>
        <w:tab w:val="right" w:pos="8306"/>
      </w:tabs>
      <w:snapToGrid w:val="0"/>
      <w:jc w:val="left"/>
    </w:pPr>
    <w:rPr>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4"/>
    <w:link w:val="3"/>
    <w:semiHidden/>
    <w:qFormat/>
    <w:uiPriority w:val="99"/>
    <w:rPr>
      <w:sz w:val="18"/>
      <w:szCs w:val="18"/>
    </w:rPr>
  </w:style>
  <w:style w:type="character" w:customStyle="1" w:styleId="7">
    <w:name w:val="页脚 Char"/>
    <w:basedOn w:val="4"/>
    <w:link w:val="2"/>
    <w:semiHidden/>
    <w:qFormat/>
    <w:uiPriority w:val="99"/>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D295736-A795-4CD1-8645-8CAFEF845C88}">
  <ds:schemaRefs/>
</ds:datastoreItem>
</file>

<file path=docProps/app.xml><?xml version="1.0" encoding="utf-8"?>
<Properties xmlns="http://schemas.openxmlformats.org/officeDocument/2006/extended-properties" xmlns:vt="http://schemas.openxmlformats.org/officeDocument/2006/docPropsVTypes">
  <Template>Normal</Template>
  <Pages>12</Pages>
  <Words>1907</Words>
  <Characters>10874</Characters>
  <Lines>90</Lines>
  <Paragraphs>25</Paragraphs>
  <ScaleCrop>false</ScaleCrop>
  <LinksUpToDate>false</LinksUpToDate>
  <CharactersWithSpaces>12756</CharactersWithSpaces>
  <Application>WPS Office_10.1.0.6554_F1E327BC-269C-435d-A152-05C5408002CA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2017-06-15T08:52:00Z</dcterms:created>
  <dc:creator>HP</dc:creator>
  <cp:lastModifiedBy>smy</cp:lastModifiedBy>
  <dcterms:modified xsi:type="dcterms:W3CDTF">2017-06-22T03:26:14Z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2052-10.1.0.6554</vt:lpwstr>
  </property>
</Properties>
</file>